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99FBE" w14:textId="77777777" w:rsidR="0061791E" w:rsidRPr="0000388D" w:rsidRDefault="0061791E" w:rsidP="0061791E">
      <w:pPr>
        <w:spacing w:before="480" w:line="702" w:lineRule="atLeast"/>
        <w:jc w:val="center"/>
        <w:outlineLvl w:val="0"/>
        <w:rPr>
          <w:rFonts w:ascii="LinLibertine" w:eastAsia="Times New Roman" w:hAnsi="LinLibertine" w:cs="Times New Roman"/>
          <w:b/>
          <w:bCs/>
          <w:color w:val="FF0000"/>
          <w:kern w:val="36"/>
          <w:sz w:val="54"/>
          <w:szCs w:val="54"/>
        </w:rPr>
      </w:pPr>
      <w:r w:rsidRPr="0000388D">
        <w:rPr>
          <w:rFonts w:ascii="LinLibertine" w:eastAsia="Times New Roman" w:hAnsi="LinLibertine" w:cs="Times New Roman"/>
          <w:b/>
          <w:bCs/>
          <w:color w:val="FF0000"/>
          <w:kern w:val="36"/>
          <w:sz w:val="54"/>
          <w:szCs w:val="54"/>
        </w:rPr>
        <w:t>Is the grounded theory method an appropriate research methods for use in public administration? Why or why not?</w:t>
      </w:r>
    </w:p>
    <w:p w14:paraId="62F23867" w14:textId="77777777" w:rsidR="0061791E" w:rsidRPr="00F22657" w:rsidRDefault="0061791E" w:rsidP="0061791E">
      <w:pPr>
        <w:spacing w:before="480" w:line="702" w:lineRule="atLeast"/>
        <w:jc w:val="center"/>
        <w:outlineLvl w:val="0"/>
        <w:rPr>
          <w:rFonts w:ascii="LinLibertine" w:eastAsia="Times New Roman" w:hAnsi="LinLibertine" w:cs="Times New Roman"/>
          <w:b/>
          <w:bCs/>
          <w:color w:val="000000"/>
          <w:kern w:val="36"/>
          <w:sz w:val="54"/>
          <w:szCs w:val="54"/>
        </w:rPr>
      </w:pPr>
      <w:hyperlink r:id="rId5" w:anchor="R_15031-1034_ch023" w:history="1">
        <w:r w:rsidRPr="00F22657">
          <w:rPr>
            <w:rFonts w:ascii="LinLibertine" w:eastAsia="Times New Roman" w:hAnsi="LinLibertine" w:cs="Times New Roman"/>
            <w:b/>
            <w:bCs/>
            <w:color w:val="0000FF"/>
            <w:kern w:val="36"/>
            <w:sz w:val="54"/>
            <w:szCs w:val="54"/>
            <w:u w:val="single"/>
          </w:rPr>
          <w:t>23</w:t>
        </w:r>
      </w:hyperlink>
    </w:p>
    <w:p w14:paraId="016AB558" w14:textId="77777777" w:rsidR="0061791E" w:rsidRPr="00F22657" w:rsidRDefault="0061791E" w:rsidP="0061791E">
      <w:pPr>
        <w:spacing w:before="960"/>
        <w:jc w:val="center"/>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r w:rsidRPr="00F22657">
        <w:rPr>
          <w:rFonts w:ascii="LinLibertine" w:eastAsia="Times New Roman" w:hAnsi="LinLibertine" w:cs="Times New Roman"/>
          <w:color w:val="000000"/>
          <w:sz w:val="30"/>
          <w:szCs w:val="30"/>
          <w:bdr w:val="double" w:sz="6" w:space="1" w:color="auto" w:frame="1"/>
        </w:rPr>
        <w:t> </w:t>
      </w:r>
    </w:p>
    <w:p w14:paraId="75BB8FFC" w14:textId="77777777" w:rsidR="0061791E" w:rsidRPr="00F22657" w:rsidRDefault="0061791E" w:rsidP="0061791E">
      <w:pPr>
        <w:spacing w:before="120" w:after="720" w:line="702" w:lineRule="atLeast"/>
        <w:jc w:val="center"/>
        <w:outlineLvl w:val="0"/>
        <w:rPr>
          <w:rFonts w:ascii="LinLibertine" w:eastAsia="Times New Roman" w:hAnsi="LinLibertine" w:cs="Times New Roman"/>
          <w:b/>
          <w:bCs/>
          <w:color w:val="000000"/>
          <w:kern w:val="36"/>
          <w:sz w:val="54"/>
          <w:szCs w:val="54"/>
        </w:rPr>
      </w:pPr>
      <w:hyperlink r:id="rId6" w:anchor="R_15031-1034_ch023" w:history="1">
        <w:r w:rsidRPr="00F22657">
          <w:rPr>
            <w:rFonts w:ascii="LinLibertine" w:eastAsia="Times New Roman" w:hAnsi="LinLibertine" w:cs="Times New Roman"/>
            <w:b/>
            <w:bCs/>
            <w:color w:val="0000FF"/>
            <w:kern w:val="36"/>
            <w:sz w:val="54"/>
            <w:szCs w:val="54"/>
            <w:u w:val="single"/>
          </w:rPr>
          <w:t>Research Using Grounded Theory Designs</w:t>
        </w:r>
      </w:hyperlink>
    </w:p>
    <w:p w14:paraId="378FBE65"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Since its introduction in the late 1960s, the </w:t>
      </w:r>
      <w:r w:rsidRPr="00F22657">
        <w:rPr>
          <w:rFonts w:ascii="LinLibertine" w:eastAsia="Times New Roman" w:hAnsi="LinLibertine" w:cs="Times New Roman"/>
          <w:i/>
          <w:iCs/>
          <w:color w:val="000000"/>
          <w:sz w:val="30"/>
          <w:szCs w:val="30"/>
        </w:rPr>
        <w:t>grounded theory</w:t>
      </w:r>
      <w:r w:rsidRPr="00F22657">
        <w:rPr>
          <w:rFonts w:ascii="LinLibertine" w:eastAsia="Times New Roman" w:hAnsi="LinLibertine" w:cs="Times New Roman"/>
          <w:color w:val="000000"/>
          <w:sz w:val="30"/>
          <w:szCs w:val="30"/>
        </w:rPr>
        <w:t> approach to research has captured the methodological interest and imagination of researchers in all the social and administrative sciences. One of its principal inventors, Barney G. Glaser (1992, 842), described it as a methodology for getting from the systematic collection of data to production of a multivariate conceptual theory.</w:t>
      </w:r>
    </w:p>
    <w:p w14:paraId="2087F3D9"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grounded theory method has been successfully used in many different circumstances, disciplines, and cultures. The fact that it is easily generalizable to many different disciplines and research topics has contributed to its increasing acceptance worldwide. As Glaser (1992) noted,</w:t>
      </w:r>
    </w:p>
    <w:p w14:paraId="1AA2866E" w14:textId="77777777" w:rsidR="0061791E" w:rsidRPr="00F22657" w:rsidRDefault="0061791E" w:rsidP="0061791E">
      <w:pPr>
        <w:spacing w:line="351" w:lineRule="atLeast"/>
        <w:jc w:val="both"/>
        <w:rPr>
          <w:rFonts w:ascii="LinLibertine" w:eastAsia="Times New Roman" w:hAnsi="LinLibertine" w:cs="Times New Roman"/>
          <w:color w:val="000000"/>
          <w:sz w:val="27"/>
          <w:szCs w:val="27"/>
        </w:rPr>
      </w:pPr>
      <w:r w:rsidRPr="00F22657">
        <w:rPr>
          <w:rFonts w:ascii="LinLibertine" w:eastAsia="Times New Roman" w:hAnsi="LinLibertine" w:cs="Times New Roman"/>
          <w:color w:val="000000"/>
          <w:sz w:val="27"/>
          <w:szCs w:val="27"/>
        </w:rPr>
        <w:t xml:space="preserve">Grounded theory is a general method. It can be used on any data or combination of data. It was developed partially by me with quantitative data (which) is expensive and somewhat hard to obtain… . Qualitative data are inexpensive to collect, very rich in meaning and observation, and rewarding to collect and analyze. So … grounded theory is being linked to qualitative data and is seen as </w:t>
      </w:r>
      <w:r w:rsidRPr="00F22657">
        <w:rPr>
          <w:rFonts w:ascii="LinLibertine" w:eastAsia="Times New Roman" w:hAnsi="LinLibertine" w:cs="Times New Roman"/>
          <w:color w:val="000000"/>
          <w:sz w:val="27"/>
          <w:szCs w:val="27"/>
        </w:rPr>
        <w:lastRenderedPageBreak/>
        <w:t>a qualitative method, using symbolic interaction, by many. Qualitative grounded theory accounts for the global spread of its use. (842)</w:t>
      </w:r>
    </w:p>
    <w:p w14:paraId="680BDF15"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7" w:anchor="R_15031-1034_h1_ch023_001" w:history="1">
        <w:r w:rsidRPr="00F22657">
          <w:rPr>
            <w:rFonts w:ascii="LinLibertine" w:eastAsia="Times New Roman" w:hAnsi="LinLibertine" w:cs="Times New Roman"/>
            <w:b/>
            <w:bCs/>
            <w:color w:val="0000FF"/>
            <w:sz w:val="45"/>
            <w:szCs w:val="45"/>
            <w:u w:val="single"/>
          </w:rPr>
          <w:t>Beginnings of the Grounded Theory Approach</w:t>
        </w:r>
      </w:hyperlink>
    </w:p>
    <w:p w14:paraId="2A7A2084"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grounded theory method evolved from roots in the </w:t>
      </w:r>
      <w:r w:rsidRPr="00F22657">
        <w:rPr>
          <w:rFonts w:ascii="LinLibertine" w:eastAsia="Times New Roman" w:hAnsi="LinLibertine" w:cs="Times New Roman"/>
          <w:i/>
          <w:iCs/>
          <w:color w:val="000000"/>
          <w:sz w:val="30"/>
          <w:szCs w:val="30"/>
        </w:rPr>
        <w:t>symbolic interactionism</w:t>
      </w:r>
      <w:r w:rsidRPr="00F22657">
        <w:rPr>
          <w:rFonts w:ascii="LinLibertine" w:eastAsia="Times New Roman" w:hAnsi="LinLibertine" w:cs="Times New Roman"/>
          <w:color w:val="000000"/>
          <w:sz w:val="30"/>
          <w:szCs w:val="30"/>
        </w:rPr>
        <w:t> theoretical research of social psychologist George H. Mead at the University of Chicago, his one-time student Herbert Blumer, and others (Robrecht 1995; Annells 1996). Mead (1934) believed that people define themselves through the social roles, expectations, and perspectives they acquire from society and through the processes of socialization and social interactions. Blumer (1986) added three concepts to Mead’s thesis: (1) the meanings that people have for things will determine the way they behave toward them, (2) these meanings come from people’s social interactions, and (3) to deal with these meanings, people undergo a process of constant interpretation. Grounded theory was created by Glaser and Strauss (1967) as a way to develop explanatory and predictive theory about the social life, roles, and expected behaviors of people.</w:t>
      </w:r>
    </w:p>
    <w:p w14:paraId="2A3E3368"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From its early roots in sociology and social psychology, the method has evolved and grown in importance to become what has been described as the most comprehensive qualitative research methodology available (Haig 1995). Also noting this increased acceptance, Denzin and Lincoln (1994a) called it “the most widely used interpretive strategy in the social sciences today” (204). Recently, this method has also become an increasingly important research approach in public administration.</w:t>
      </w:r>
    </w:p>
    <w:p w14:paraId="2F46F340"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has gone global, seriously global among the disciplines of nursing, business, and education and less so among other social-psychological-oriented disciplines such as social welfare, psychology, sociology, and art,” according to Glaser (1999, 841). Miller and Fredericks (1999) have also commented on this growth:</w:t>
      </w:r>
    </w:p>
    <w:p w14:paraId="4FEEA941" w14:textId="77777777" w:rsidR="0061791E" w:rsidRPr="00F22657" w:rsidRDefault="0061791E" w:rsidP="0061791E">
      <w:pPr>
        <w:spacing w:line="351" w:lineRule="atLeast"/>
        <w:jc w:val="both"/>
        <w:rPr>
          <w:rFonts w:ascii="LinLibertine" w:eastAsia="Times New Roman" w:hAnsi="LinLibertine" w:cs="Times New Roman"/>
          <w:color w:val="000000"/>
          <w:sz w:val="27"/>
          <w:szCs w:val="27"/>
        </w:rPr>
      </w:pPr>
      <w:r w:rsidRPr="00F22657">
        <w:rPr>
          <w:rFonts w:ascii="LinLibertine" w:eastAsia="Times New Roman" w:hAnsi="LinLibertine" w:cs="Times New Roman"/>
          <w:color w:val="000000"/>
          <w:sz w:val="27"/>
          <w:szCs w:val="27"/>
        </w:rPr>
        <w:t>It is increasingly apparent that the grounded theory approach has become a paradigm of choice in much of the qualitatively oriented research in nursing, education, and other disciplines. Grounded theory has become a type of central organizing concept that serves to both direct the research process as well as provide a heuristic for data analysis and interpretation. (538)</w:t>
      </w:r>
    </w:p>
    <w:p w14:paraId="11DFF5A3"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lastRenderedPageBreak/>
        <w:t>Grounded theory was first proposed as a reaction against the restrictions that its developers saw in positivist research methodology. Chief among those perceived restrictions was the requirement to conduct research for the purpose of testing preconceived theoretical hypotheses. Today, the primary objective of all grounded theory research is to develop theory out of the information gathered rather than testing predetermined theories through a process of experimentation.</w:t>
      </w:r>
    </w:p>
    <w:p w14:paraId="57DF2B9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process begins with the researcher focusing on some area of study. This could be any phenomenon, circumstance, trend, or behavior in any of the social or administrative sciences. Using such tools as observation and interviewing, among others, the researcher gathers relevant data from as many different sources as are available. Analysis of the data begins with grouping them into categories and assigning codes. Through a process of continually comparing data in various categories, the researcher may generate theory.</w:t>
      </w:r>
    </w:p>
    <w:p w14:paraId="2797C3E7" w14:textId="77777777" w:rsidR="0061791E" w:rsidRPr="00F22657" w:rsidRDefault="0061791E" w:rsidP="0061791E">
      <w:pPr>
        <w:spacing w:after="120"/>
        <w:ind w:left="1128" w:hanging="1128"/>
        <w:rPr>
          <w:rFonts w:ascii="LinLibertine" w:eastAsia="Times New Roman" w:hAnsi="LinLibertine" w:cs="Times New Roman"/>
          <w:b/>
          <w:bCs/>
          <w:color w:val="000000"/>
          <w:sz w:val="27"/>
          <w:szCs w:val="27"/>
        </w:rPr>
      </w:pPr>
      <w:hyperlink r:id="rId8" w:anchor="R_15031-1034_ch023_Figure_001" w:history="1">
        <w:r w:rsidRPr="00F22657">
          <w:rPr>
            <w:rFonts w:ascii="LinLibertine" w:eastAsia="Times New Roman" w:hAnsi="LinLibertine" w:cs="Times New Roman"/>
            <w:color w:val="0000FF"/>
            <w:u w:val="single"/>
          </w:rPr>
          <w:t>Figure 23.1</w:t>
        </w:r>
        <w:r w:rsidRPr="00F22657">
          <w:rPr>
            <w:rFonts w:ascii="LinLibertine" w:eastAsia="Times New Roman" w:hAnsi="LinLibertine" w:cs="Times New Roman"/>
            <w:b/>
            <w:bCs/>
            <w:color w:val="0000FF"/>
            <w:u w:val="single"/>
          </w:rPr>
          <w:t> </w:t>
        </w:r>
        <w:r w:rsidRPr="00F22657">
          <w:rPr>
            <w:rFonts w:ascii="LinLibertine" w:eastAsia="Times New Roman" w:hAnsi="LinLibertine" w:cs="Times New Roman"/>
            <w:b/>
            <w:bCs/>
            <w:color w:val="0000FF"/>
            <w:u w:val="single"/>
          </w:rPr>
          <w:t>Constant Comparative Method of Data Analysis</w:t>
        </w:r>
      </w:hyperlink>
    </w:p>
    <w:p w14:paraId="0443476B" w14:textId="77777777" w:rsidR="0061791E" w:rsidRPr="00F22657" w:rsidRDefault="0061791E" w:rsidP="0061791E">
      <w:pPr>
        <w:jc w:val="center"/>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fldChar w:fldCharType="begin"/>
      </w:r>
      <w:r w:rsidRPr="00F22657">
        <w:rPr>
          <w:rFonts w:ascii="LinLibertine" w:eastAsia="Times New Roman" w:hAnsi="LinLibertine" w:cs="Times New Roman"/>
          <w:color w:val="000000"/>
          <w:sz w:val="30"/>
          <w:szCs w:val="30"/>
        </w:rPr>
        <w:instrText xml:space="preserve"> INCLUDEPICTURE "https://jigsaw.vitalsource.com/books/9781351721479/epub/OEBPS/Images/ch023_fig_001.jpg" \* MERGEFORMATINET </w:instrText>
      </w:r>
      <w:r w:rsidRPr="00F22657">
        <w:rPr>
          <w:rFonts w:ascii="LinLibertine" w:eastAsia="Times New Roman" w:hAnsi="LinLibertine" w:cs="Times New Roman"/>
          <w:color w:val="000000"/>
          <w:sz w:val="30"/>
          <w:szCs w:val="30"/>
        </w:rPr>
        <w:fldChar w:fldCharType="separate"/>
      </w:r>
      <w:r w:rsidRPr="00F22657">
        <w:rPr>
          <w:rFonts w:ascii="LinLibertine" w:eastAsia="Times New Roman" w:hAnsi="LinLibertine" w:cs="Times New Roman"/>
          <w:noProof/>
          <w:color w:val="000000"/>
          <w:sz w:val="30"/>
          <w:szCs w:val="30"/>
        </w:rPr>
        <mc:AlternateContent>
          <mc:Choice Requires="wps">
            <w:drawing>
              <wp:inline distT="0" distB="0" distL="0" distR="0" wp14:anchorId="48B5843B" wp14:editId="769E94F0">
                <wp:extent cx="302260" cy="302260"/>
                <wp:effectExtent l="0" t="0" r="0" b="0"/>
                <wp:docPr id="4" name="Rectangle 4" descr="Figure 2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623D79" id="Rectangle 4" o:spid="_x0000_s1026" alt="Figure 23.1"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" filled="f" stroked="f">
                <o:lock v:ext="edit" aspectratio="t"/>
                <w10:anchorlock/>
              </v:rect>
            </w:pict>
          </mc:Fallback>
        </mc:AlternateContent>
      </w:r>
      <w:r w:rsidRPr="00F22657">
        <w:rPr>
          <w:rFonts w:ascii="LinLibertine" w:eastAsia="Times New Roman" w:hAnsi="LinLibertine" w:cs="Times New Roman"/>
          <w:color w:val="000000"/>
          <w:sz w:val="30"/>
          <w:szCs w:val="30"/>
        </w:rPr>
        <w:fldChar w:fldCharType="end"/>
      </w:r>
    </w:p>
    <w:p w14:paraId="241786D3" w14:textId="77777777" w:rsidR="0061791E" w:rsidRPr="00F22657" w:rsidRDefault="0061791E" w:rsidP="0061791E">
      <w:pPr>
        <w:spacing w:before="240" w:after="100" w:afterAutospacing="1"/>
        <w:rPr>
          <w:rFonts w:ascii="LinLibertine" w:eastAsia="Times New Roman" w:hAnsi="LinLibertine" w:cs="Times New Roman"/>
          <w:color w:val="000000"/>
          <w:sz w:val="27"/>
          <w:szCs w:val="27"/>
        </w:rPr>
      </w:pPr>
      <w:r w:rsidRPr="00F22657">
        <w:rPr>
          <w:rFonts w:ascii="LinLibertine" w:eastAsia="Times New Roman" w:hAnsi="LinLibertine" w:cs="Times New Roman"/>
          <w:i/>
          <w:iCs/>
          <w:color w:val="000000"/>
          <w:sz w:val="27"/>
          <w:szCs w:val="27"/>
        </w:rPr>
        <w:t>Source:</w:t>
      </w:r>
      <w:r w:rsidRPr="00F22657">
        <w:rPr>
          <w:rFonts w:ascii="LinLibertine" w:eastAsia="Times New Roman" w:hAnsi="LinLibertine" w:cs="Times New Roman"/>
          <w:color w:val="000000"/>
          <w:sz w:val="27"/>
          <w:szCs w:val="27"/>
        </w:rPr>
        <w:t> Maykut and Morehouse 1994, 135.</w:t>
      </w:r>
    </w:p>
    <w:p w14:paraId="359C13E9"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requires the researcher to organize and apply </w:t>
      </w:r>
      <w:r w:rsidRPr="00F22657">
        <w:rPr>
          <w:rFonts w:ascii="LinLibertine" w:eastAsia="Times New Roman" w:hAnsi="LinLibertine" w:cs="Times New Roman"/>
          <w:i/>
          <w:iCs/>
          <w:color w:val="000000"/>
          <w:sz w:val="30"/>
          <w:szCs w:val="30"/>
        </w:rPr>
        <w:t>structure</w:t>
      </w:r>
      <w:r w:rsidRPr="00F22657">
        <w:rPr>
          <w:rFonts w:ascii="LinLibertine" w:eastAsia="Times New Roman" w:hAnsi="LinLibertine" w:cs="Times New Roman"/>
          <w:color w:val="000000"/>
          <w:sz w:val="30"/>
          <w:szCs w:val="30"/>
        </w:rPr>
        <w:t> to the data according to an eclectic set of researcher-determined groupings or </w:t>
      </w:r>
      <w:r w:rsidRPr="00F22657">
        <w:rPr>
          <w:rFonts w:ascii="LinLibertine" w:eastAsia="Times New Roman" w:hAnsi="LinLibertine" w:cs="Times New Roman"/>
          <w:i/>
          <w:iCs/>
          <w:color w:val="000000"/>
          <w:sz w:val="30"/>
          <w:szCs w:val="30"/>
        </w:rPr>
        <w:t>categories</w:t>
      </w:r>
      <w:r w:rsidRPr="00F22657">
        <w:rPr>
          <w:rFonts w:ascii="LinLibertine" w:eastAsia="Times New Roman" w:hAnsi="LinLibertine" w:cs="Times New Roman"/>
          <w:color w:val="000000"/>
          <w:sz w:val="30"/>
          <w:szCs w:val="30"/>
        </w:rPr>
        <w:t>. As the researcher forms categories, new data are compared across the formed categories. Linkages between categories and characteristics are also identified. The data and their linkages are assigned discrete codes that enable the researcher to identify them with their specific groupings. Similar codes are in turn assigned to other data that fit a broader category or categories. As the process continues, categories are constantly reevaluated and changed when necessary. Only when no additional revisions are intuitively possible does the analyst form a </w:t>
      </w:r>
      <w:r w:rsidRPr="00F22657">
        <w:rPr>
          <w:rFonts w:ascii="LinLibertine" w:eastAsia="Times New Roman" w:hAnsi="LinLibertine" w:cs="Times New Roman"/>
          <w:i/>
          <w:iCs/>
          <w:color w:val="000000"/>
          <w:sz w:val="30"/>
          <w:szCs w:val="30"/>
        </w:rPr>
        <w:t>theory</w:t>
      </w:r>
      <w:r w:rsidRPr="00F22657">
        <w:rPr>
          <w:rFonts w:ascii="LinLibertine" w:eastAsia="Times New Roman" w:hAnsi="LinLibertine" w:cs="Times New Roman"/>
          <w:color w:val="000000"/>
          <w:sz w:val="30"/>
          <w:szCs w:val="30"/>
        </w:rPr>
        <w:t> from the collected and analyzed data. </w:t>
      </w:r>
      <w:hyperlink r:id="rId9" w:anchor="_15031-1034_ch023_Figure_001" w:history="1">
        <w:r w:rsidRPr="00F22657">
          <w:rPr>
            <w:rFonts w:ascii="LinLibertine" w:eastAsia="Times New Roman" w:hAnsi="LinLibertine" w:cs="Times New Roman"/>
            <w:color w:val="0000FF"/>
            <w:sz w:val="30"/>
            <w:szCs w:val="30"/>
            <w:u w:val="single"/>
          </w:rPr>
          <w:t>Figure 23.1</w:t>
        </w:r>
      </w:hyperlink>
      <w:r w:rsidRPr="00F22657">
        <w:rPr>
          <w:rFonts w:ascii="LinLibertine" w:eastAsia="Times New Roman" w:hAnsi="LinLibertine" w:cs="Times New Roman"/>
          <w:color w:val="000000"/>
          <w:sz w:val="30"/>
          <w:szCs w:val="30"/>
        </w:rPr>
        <w:t> illustrates the constant comparative method of data analysis.</w:t>
      </w:r>
    </w:p>
    <w:p w14:paraId="3FB4A185"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Grouping and Coding</w:t>
      </w:r>
    </w:p>
    <w:p w14:paraId="0FA536EC"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Rather than functioning only as a matter of convenience for later reference, the actual assigning of data to their formed groupings is a critical early step in the analysis process. Strauss and Corbin (1997) </w:t>
      </w:r>
      <w:r w:rsidRPr="00F22657">
        <w:rPr>
          <w:rFonts w:ascii="LinLibertine" w:eastAsia="Times New Roman" w:hAnsi="LinLibertine" w:cs="Times New Roman"/>
          <w:color w:val="000000"/>
          <w:sz w:val="30"/>
          <w:szCs w:val="30"/>
        </w:rPr>
        <w:lastRenderedPageBreak/>
        <w:t>defined the coding process as the “analytical process through which data are fractured, conceptualized, and integrated to form theory” (3). It is the key activity in the </w:t>
      </w:r>
      <w:r w:rsidRPr="00F22657">
        <w:rPr>
          <w:rFonts w:ascii="LinLibertine" w:eastAsia="Times New Roman" w:hAnsi="LinLibertine" w:cs="Times New Roman"/>
          <w:i/>
          <w:iCs/>
          <w:color w:val="000000"/>
          <w:sz w:val="30"/>
          <w:szCs w:val="30"/>
        </w:rPr>
        <w:t>microanalysis</w:t>
      </w:r>
      <w:r w:rsidRPr="00F22657">
        <w:rPr>
          <w:rFonts w:ascii="LinLibertine" w:eastAsia="Times New Roman" w:hAnsi="LinLibertine" w:cs="Times New Roman"/>
          <w:color w:val="000000"/>
          <w:sz w:val="30"/>
          <w:szCs w:val="30"/>
        </w:rPr>
        <w:t> stage of the data; it includes both the first and the second stages of coding.</w:t>
      </w:r>
    </w:p>
    <w:p w14:paraId="5038B9C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researcher applies a rigorous analytical process to develop theory out of the investigated social situation(s) </w:t>
      </w:r>
      <w:r w:rsidRPr="00F22657">
        <w:rPr>
          <w:rFonts w:ascii="LinLibertine" w:eastAsia="Times New Roman" w:hAnsi="LinLibertine" w:cs="Times New Roman"/>
          <w:i/>
          <w:iCs/>
          <w:color w:val="000000"/>
          <w:sz w:val="30"/>
          <w:szCs w:val="30"/>
        </w:rPr>
        <w:t>after</w:t>
      </w:r>
      <w:r w:rsidRPr="00F22657">
        <w:rPr>
          <w:rFonts w:ascii="LinLibertine" w:eastAsia="Times New Roman" w:hAnsi="LinLibertine" w:cs="Times New Roman"/>
          <w:color w:val="000000"/>
          <w:sz w:val="30"/>
          <w:szCs w:val="30"/>
        </w:rPr>
        <w:t> several runs through the raw data and coded categories. Thus, a key concept in grounded theory is the </w:t>
      </w:r>
      <w:r w:rsidRPr="00F22657">
        <w:rPr>
          <w:rFonts w:ascii="LinLibertine" w:eastAsia="Times New Roman" w:hAnsi="LinLibertine" w:cs="Times New Roman"/>
          <w:i/>
          <w:iCs/>
          <w:color w:val="000000"/>
          <w:sz w:val="30"/>
          <w:szCs w:val="30"/>
        </w:rPr>
        <w:t>continual analysis</w:t>
      </w:r>
      <w:r w:rsidRPr="00F22657">
        <w:rPr>
          <w:rFonts w:ascii="LinLibertine" w:eastAsia="Times New Roman" w:hAnsi="LinLibertine" w:cs="Times New Roman"/>
          <w:color w:val="000000"/>
          <w:sz w:val="30"/>
          <w:szCs w:val="30"/>
        </w:rPr>
        <w:t> of the data while and after they are collected.</w:t>
      </w:r>
    </w:p>
    <w:p w14:paraId="2B3BCA0E"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Insights and ideas are also generated after in-depth analysis of the data. The analyst searches for commonalities and differences in the data. New data are fitted into the constructs or categories that are seen as pivotal in the data. Commonalities are compared and contrasted as the analyst weighs possible theories against other possible interpretations. Ultimately, a theory that is “grounded” in the data will emerge from the analysis.</w:t>
      </w:r>
    </w:p>
    <w:p w14:paraId="2FC34EDB"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researchers conduct their studies by gathering all possible facts that pertain to a problem through personal interviews, analyses of participants’ diaries, and participant observation. The data are analyzed and given an initial interpretation as they are collected by the researcher (Strauss and Corbin 1997). This initial interpretation is called </w:t>
      </w:r>
      <w:r w:rsidRPr="00F22657">
        <w:rPr>
          <w:rFonts w:ascii="LinLibertine" w:eastAsia="Times New Roman" w:hAnsi="LinLibertine" w:cs="Times New Roman"/>
          <w:i/>
          <w:iCs/>
          <w:color w:val="000000"/>
          <w:sz w:val="30"/>
          <w:szCs w:val="30"/>
        </w:rPr>
        <w:t>open</w:t>
      </w:r>
      <w:r w:rsidRPr="00F22657">
        <w:rPr>
          <w:rFonts w:ascii="LinLibertine" w:eastAsia="Times New Roman" w:hAnsi="LinLibertine" w:cs="Times New Roman"/>
          <w:color w:val="000000"/>
          <w:sz w:val="30"/>
          <w:szCs w:val="30"/>
        </w:rPr>
        <w:t> or </w:t>
      </w:r>
      <w:r w:rsidRPr="00F22657">
        <w:rPr>
          <w:rFonts w:ascii="LinLibertine" w:eastAsia="Times New Roman" w:hAnsi="LinLibertine" w:cs="Times New Roman"/>
          <w:i/>
          <w:iCs/>
          <w:color w:val="000000"/>
          <w:sz w:val="30"/>
          <w:szCs w:val="30"/>
        </w:rPr>
        <w:t>substantive</w:t>
      </w:r>
      <w:r w:rsidRPr="00F22657">
        <w:rPr>
          <w:rFonts w:ascii="LinLibertine" w:eastAsia="Times New Roman" w:hAnsi="LinLibertine" w:cs="Times New Roman"/>
          <w:color w:val="000000"/>
          <w:sz w:val="30"/>
          <w:szCs w:val="30"/>
        </w:rPr>
        <w:t> coding.</w:t>
      </w:r>
    </w:p>
    <w:p w14:paraId="72B5043E"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10" w:anchor="R_15031-1034_h1_ch023_002" w:history="1">
        <w:r w:rsidRPr="00F22657">
          <w:rPr>
            <w:rFonts w:ascii="LinLibertine" w:eastAsia="Times New Roman" w:hAnsi="LinLibertine" w:cs="Times New Roman"/>
            <w:b/>
            <w:bCs/>
            <w:color w:val="0000FF"/>
            <w:sz w:val="45"/>
            <w:szCs w:val="45"/>
            <w:u w:val="single"/>
          </w:rPr>
          <w:t>Approaches to Grounded Theory</w:t>
        </w:r>
      </w:hyperlink>
    </w:p>
    <w:p w14:paraId="2570B2D0"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analysis process identified by Glaser and Strauss (1967) has been modified over time, so today there are at least two approaches to grounded theory. Locke (1996) identified the two approaches as the </w:t>
      </w:r>
      <w:r w:rsidRPr="00F22657">
        <w:rPr>
          <w:rFonts w:ascii="LinLibertine" w:eastAsia="Times New Roman" w:hAnsi="LinLibertine" w:cs="Times New Roman"/>
          <w:i/>
          <w:iCs/>
          <w:color w:val="000000"/>
          <w:sz w:val="30"/>
          <w:szCs w:val="30"/>
        </w:rPr>
        <w:t>Straussian</w:t>
      </w:r>
      <w:r w:rsidRPr="00F22657">
        <w:rPr>
          <w:rFonts w:ascii="LinLibertine" w:eastAsia="Times New Roman" w:hAnsi="LinLibertine" w:cs="Times New Roman"/>
          <w:color w:val="000000"/>
          <w:sz w:val="30"/>
          <w:szCs w:val="30"/>
        </w:rPr>
        <w:t>—after Anselm Strauss—and the </w:t>
      </w:r>
      <w:r w:rsidRPr="00F22657">
        <w:rPr>
          <w:rFonts w:ascii="LinLibertine" w:eastAsia="Times New Roman" w:hAnsi="LinLibertine" w:cs="Times New Roman"/>
          <w:i/>
          <w:iCs/>
          <w:color w:val="000000"/>
          <w:sz w:val="30"/>
          <w:szCs w:val="30"/>
        </w:rPr>
        <w:t>Glaserian</w:t>
      </w:r>
      <w:r w:rsidRPr="00F22657">
        <w:rPr>
          <w:rFonts w:ascii="LinLibertine" w:eastAsia="Times New Roman" w:hAnsi="LinLibertine" w:cs="Times New Roman"/>
          <w:color w:val="000000"/>
          <w:sz w:val="30"/>
          <w:szCs w:val="30"/>
        </w:rPr>
        <w:t>—after Barney Glaser. Strauss and Corbin (1997), reporting that their graduate students had great difficulty organizing, coding, and analyzing their data, proposed that an additional step be added to the process. Glaser responded in 1992, taking issue with Strauss and Corbin for straying from the original emphasis on developing theory and adopting instead a process that he believed emphasized conceptual description over theory generation.</w:t>
      </w:r>
    </w:p>
    <w:p w14:paraId="6F88ABCD"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Both approaches are fundamentally similar, but the controversy focuses on the addition of a third level of coding proposed by Strauss and Corbin. Glaser (1992) advocates sticking to the two steps in the </w:t>
      </w:r>
      <w:r w:rsidRPr="00F22657">
        <w:rPr>
          <w:rFonts w:ascii="LinLibertine" w:eastAsia="Times New Roman" w:hAnsi="LinLibertine" w:cs="Times New Roman"/>
          <w:color w:val="000000"/>
          <w:sz w:val="30"/>
          <w:szCs w:val="30"/>
        </w:rPr>
        <w:lastRenderedPageBreak/>
        <w:t>coding process introduced in the original work. Both approaches emphasize the importance of coding as a key concept in the analysis.</w:t>
      </w:r>
    </w:p>
    <w:p w14:paraId="6933DA4C"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Glaser’s two coding processes are </w:t>
      </w:r>
      <w:r w:rsidRPr="00F22657">
        <w:rPr>
          <w:rFonts w:ascii="LinLibertine" w:eastAsia="Times New Roman" w:hAnsi="LinLibertine" w:cs="Times New Roman"/>
          <w:i/>
          <w:iCs/>
          <w:color w:val="000000"/>
          <w:sz w:val="30"/>
          <w:szCs w:val="30"/>
        </w:rPr>
        <w:t>open</w:t>
      </w:r>
      <w:r w:rsidRPr="00F22657">
        <w:rPr>
          <w:rFonts w:ascii="LinLibertine" w:eastAsia="Times New Roman" w:hAnsi="LinLibertine" w:cs="Times New Roman"/>
          <w:color w:val="000000"/>
          <w:sz w:val="30"/>
          <w:szCs w:val="30"/>
        </w:rPr>
        <w:t> (substantive) and </w:t>
      </w:r>
      <w:r w:rsidRPr="00F22657">
        <w:rPr>
          <w:rFonts w:ascii="LinLibertine" w:eastAsia="Times New Roman" w:hAnsi="LinLibertine" w:cs="Times New Roman"/>
          <w:i/>
          <w:iCs/>
          <w:color w:val="000000"/>
          <w:sz w:val="30"/>
          <w:szCs w:val="30"/>
        </w:rPr>
        <w:t>theoretical</w:t>
      </w:r>
      <w:r w:rsidRPr="00F22657">
        <w:rPr>
          <w:rFonts w:ascii="LinLibertine" w:eastAsia="Times New Roman" w:hAnsi="LinLibertine" w:cs="Times New Roman"/>
          <w:color w:val="000000"/>
          <w:sz w:val="30"/>
          <w:szCs w:val="30"/>
        </w:rPr>
        <w:t>. During the first phase, coding can be relatively freewheeling, open to continuous revision, compression, and merging. During the final, theoretical phase of the analysis, the researcher is advised to rework the groupings as required to bring substance to any emerging theoretical conclusions.</w:t>
      </w:r>
    </w:p>
    <w:p w14:paraId="054A752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Strauss and Corbin (1997) reported that the grounded theory process as originally proposed in 1967 made it difficult for beginning researchers to produce clear and cogent theory from the data. Retaining the open and substantive coding levels, they proposed adding a third, intermediate step in the coding/analysis process. They called this intermediate step “</w:t>
      </w:r>
      <w:r w:rsidRPr="00F22657">
        <w:rPr>
          <w:rFonts w:ascii="LinLibertine" w:eastAsia="Times New Roman" w:hAnsi="LinLibertine" w:cs="Times New Roman"/>
          <w:i/>
          <w:iCs/>
          <w:color w:val="000000"/>
          <w:sz w:val="30"/>
          <w:szCs w:val="30"/>
        </w:rPr>
        <w:t>axial coding</w:t>
      </w:r>
      <w:r w:rsidRPr="00F22657">
        <w:rPr>
          <w:rFonts w:ascii="LinLibertine" w:eastAsia="Times New Roman" w:hAnsi="LinLibertine" w:cs="Times New Roman"/>
          <w:color w:val="000000"/>
          <w:sz w:val="30"/>
          <w:szCs w:val="30"/>
        </w:rPr>
        <w:t>” (Glaser 1992; Kendall 1999). This step, which is proposed as a way to “demystify” the grounded theory process, requires the researcher to place all the initially “open-coded” data into six categories specified by Strauss and Corbin. The six predetermined categories are (1) </w:t>
      </w:r>
      <w:r w:rsidRPr="00F22657">
        <w:rPr>
          <w:rFonts w:ascii="LinLibertine" w:eastAsia="Times New Roman" w:hAnsi="LinLibertine" w:cs="Times New Roman"/>
          <w:i/>
          <w:iCs/>
          <w:color w:val="000000"/>
          <w:sz w:val="30"/>
          <w:szCs w:val="30"/>
        </w:rPr>
        <w:t>causal conditions</w:t>
      </w:r>
      <w:r w:rsidRPr="00F22657">
        <w:rPr>
          <w:rFonts w:ascii="LinLibertine" w:eastAsia="Times New Roman" w:hAnsi="LinLibertine" w:cs="Times New Roman"/>
          <w:color w:val="000000"/>
          <w:sz w:val="30"/>
          <w:szCs w:val="30"/>
        </w:rPr>
        <w:t>, (2) </w:t>
      </w:r>
      <w:r w:rsidRPr="00F22657">
        <w:rPr>
          <w:rFonts w:ascii="LinLibertine" w:eastAsia="Times New Roman" w:hAnsi="LinLibertine" w:cs="Times New Roman"/>
          <w:i/>
          <w:iCs/>
          <w:color w:val="000000"/>
          <w:sz w:val="30"/>
          <w:szCs w:val="30"/>
        </w:rPr>
        <w:t>phenomena</w:t>
      </w:r>
      <w:r w:rsidRPr="00F22657">
        <w:rPr>
          <w:rFonts w:ascii="LinLibertine" w:eastAsia="Times New Roman" w:hAnsi="LinLibertine" w:cs="Times New Roman"/>
          <w:color w:val="000000"/>
          <w:sz w:val="30"/>
          <w:szCs w:val="30"/>
        </w:rPr>
        <w:t>, (3) </w:t>
      </w:r>
      <w:r w:rsidRPr="00F22657">
        <w:rPr>
          <w:rFonts w:ascii="LinLibertine" w:eastAsia="Times New Roman" w:hAnsi="LinLibertine" w:cs="Times New Roman"/>
          <w:i/>
          <w:iCs/>
          <w:color w:val="000000"/>
          <w:sz w:val="30"/>
          <w:szCs w:val="30"/>
        </w:rPr>
        <w:t>context</w:t>
      </w:r>
      <w:r w:rsidRPr="00F22657">
        <w:rPr>
          <w:rFonts w:ascii="LinLibertine" w:eastAsia="Times New Roman" w:hAnsi="LinLibertine" w:cs="Times New Roman"/>
          <w:color w:val="000000"/>
          <w:sz w:val="30"/>
          <w:szCs w:val="30"/>
        </w:rPr>
        <w:t>, (4) </w:t>
      </w:r>
      <w:r w:rsidRPr="00F22657">
        <w:rPr>
          <w:rFonts w:ascii="LinLibertine" w:eastAsia="Times New Roman" w:hAnsi="LinLibertine" w:cs="Times New Roman"/>
          <w:i/>
          <w:iCs/>
          <w:color w:val="000000"/>
          <w:sz w:val="30"/>
          <w:szCs w:val="30"/>
        </w:rPr>
        <w:t>intervening conditions</w:t>
      </w:r>
      <w:r w:rsidRPr="00F22657">
        <w:rPr>
          <w:rFonts w:ascii="LinLibertine" w:eastAsia="Times New Roman" w:hAnsi="LinLibertine" w:cs="Times New Roman"/>
          <w:color w:val="000000"/>
          <w:sz w:val="30"/>
          <w:szCs w:val="30"/>
        </w:rPr>
        <w:t>, (5) </w:t>
      </w:r>
      <w:r w:rsidRPr="00F22657">
        <w:rPr>
          <w:rFonts w:ascii="LinLibertine" w:eastAsia="Times New Roman" w:hAnsi="LinLibertine" w:cs="Times New Roman"/>
          <w:i/>
          <w:iCs/>
          <w:color w:val="000000"/>
          <w:sz w:val="30"/>
          <w:szCs w:val="30"/>
        </w:rPr>
        <w:t>actions/strategies</w:t>
      </w:r>
      <w:r w:rsidRPr="00F22657">
        <w:rPr>
          <w:rFonts w:ascii="LinLibertine" w:eastAsia="Times New Roman" w:hAnsi="LinLibertine" w:cs="Times New Roman"/>
          <w:color w:val="000000"/>
          <w:sz w:val="30"/>
          <w:szCs w:val="30"/>
        </w:rPr>
        <w:t>, and (6) </w:t>
      </w:r>
      <w:r w:rsidRPr="00F22657">
        <w:rPr>
          <w:rFonts w:ascii="LinLibertine" w:eastAsia="Times New Roman" w:hAnsi="LinLibertine" w:cs="Times New Roman"/>
          <w:i/>
          <w:iCs/>
          <w:color w:val="000000"/>
          <w:sz w:val="30"/>
          <w:szCs w:val="30"/>
        </w:rPr>
        <w:t>consequences</w:t>
      </w:r>
      <w:r w:rsidRPr="00F22657">
        <w:rPr>
          <w:rFonts w:ascii="LinLibertine" w:eastAsia="Times New Roman" w:hAnsi="LinLibertine" w:cs="Times New Roman"/>
          <w:color w:val="000000"/>
          <w:sz w:val="30"/>
          <w:szCs w:val="30"/>
        </w:rPr>
        <w:t> (</w:t>
      </w:r>
      <w:hyperlink r:id="rId11" w:anchor="_15031-1034_ch023_Figure_002" w:history="1">
        <w:r w:rsidRPr="00F22657">
          <w:rPr>
            <w:rFonts w:ascii="LinLibertine" w:eastAsia="Times New Roman" w:hAnsi="LinLibertine" w:cs="Times New Roman"/>
            <w:color w:val="0000FF"/>
            <w:sz w:val="30"/>
            <w:szCs w:val="30"/>
            <w:u w:val="single"/>
          </w:rPr>
          <w:t>Figure 23.2</w:t>
        </w:r>
      </w:hyperlink>
      <w:r w:rsidRPr="00F22657">
        <w:rPr>
          <w:rFonts w:ascii="LinLibertine" w:eastAsia="Times New Roman" w:hAnsi="LinLibertine" w:cs="Times New Roman"/>
          <w:color w:val="000000"/>
          <w:sz w:val="30"/>
          <w:szCs w:val="30"/>
        </w:rPr>
        <w:t>).</w:t>
      </w:r>
    </w:p>
    <w:p w14:paraId="147CD6A0" w14:textId="77777777" w:rsidR="0061791E" w:rsidRPr="00F22657" w:rsidRDefault="0061791E" w:rsidP="0061791E">
      <w:pPr>
        <w:spacing w:after="120"/>
        <w:ind w:left="1128" w:hanging="1128"/>
        <w:rPr>
          <w:rFonts w:ascii="LinLibertine" w:eastAsia="Times New Roman" w:hAnsi="LinLibertine" w:cs="Times New Roman"/>
          <w:b/>
          <w:bCs/>
          <w:color w:val="000000"/>
          <w:sz w:val="27"/>
          <w:szCs w:val="27"/>
        </w:rPr>
      </w:pPr>
      <w:hyperlink r:id="rId12" w:anchor="R_15031-1034_ch023_Figure_002" w:history="1">
        <w:r w:rsidRPr="00F22657">
          <w:rPr>
            <w:rFonts w:ascii="LinLibertine" w:eastAsia="Times New Roman" w:hAnsi="LinLibertine" w:cs="Times New Roman"/>
            <w:color w:val="0000FF"/>
            <w:u w:val="single"/>
          </w:rPr>
          <w:t>Figure 23.2</w:t>
        </w:r>
        <w:r w:rsidRPr="00F22657">
          <w:rPr>
            <w:rFonts w:ascii="LinLibertine" w:eastAsia="Times New Roman" w:hAnsi="LinLibertine" w:cs="Times New Roman"/>
            <w:b/>
            <w:bCs/>
            <w:color w:val="0000FF"/>
            <w:u w:val="single"/>
          </w:rPr>
          <w:t> </w:t>
        </w:r>
        <w:r w:rsidRPr="00F22657">
          <w:rPr>
            <w:rFonts w:ascii="LinLibertine" w:eastAsia="Times New Roman" w:hAnsi="LinLibertine" w:cs="Times New Roman"/>
            <w:b/>
            <w:bCs/>
            <w:color w:val="0000FF"/>
            <w:u w:val="single"/>
          </w:rPr>
          <w:t>The Strauss and Corbin Model for Axial Coding of Data</w:t>
        </w:r>
      </w:hyperlink>
    </w:p>
    <w:p w14:paraId="144264DC" w14:textId="77777777" w:rsidR="0061791E" w:rsidRPr="00F22657" w:rsidRDefault="0061791E" w:rsidP="0061791E">
      <w:pPr>
        <w:jc w:val="center"/>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fldChar w:fldCharType="begin"/>
      </w:r>
      <w:r w:rsidRPr="00F22657">
        <w:rPr>
          <w:rFonts w:ascii="LinLibertine" w:eastAsia="Times New Roman" w:hAnsi="LinLibertine" w:cs="Times New Roman"/>
          <w:color w:val="000000"/>
          <w:sz w:val="30"/>
          <w:szCs w:val="30"/>
        </w:rPr>
        <w:instrText xml:space="preserve"> INCLUDEPICTURE "https://jigsaw.vitalsource.com/books/9781351721479/epub/OEBPS/Images/ch023_fig_002.jpg" \* MERGEFORMATINET </w:instrText>
      </w:r>
      <w:r w:rsidRPr="00F22657">
        <w:rPr>
          <w:rFonts w:ascii="LinLibertine" w:eastAsia="Times New Roman" w:hAnsi="LinLibertine" w:cs="Times New Roman"/>
          <w:color w:val="000000"/>
          <w:sz w:val="30"/>
          <w:szCs w:val="30"/>
        </w:rPr>
        <w:fldChar w:fldCharType="separate"/>
      </w:r>
      <w:r w:rsidRPr="00F22657">
        <w:rPr>
          <w:rFonts w:ascii="LinLibertine" w:eastAsia="Times New Roman" w:hAnsi="LinLibertine" w:cs="Times New Roman"/>
          <w:noProof/>
          <w:color w:val="000000"/>
          <w:sz w:val="30"/>
          <w:szCs w:val="30"/>
        </w:rPr>
        <mc:AlternateContent>
          <mc:Choice Requires="wps">
            <w:drawing>
              <wp:inline distT="0" distB="0" distL="0" distR="0" wp14:anchorId="3CC4B34C" wp14:editId="611F4B0A">
                <wp:extent cx="302260" cy="302260"/>
                <wp:effectExtent l="0" t="0" r="0" b="0"/>
                <wp:docPr id="5" name="Rectangle 5" descr="Figure 2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4D4B13" id="Rectangle 5" o:spid="_x0000_s1026" alt="Figure 23.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" filled="f" stroked="f">
                <o:lock v:ext="edit" aspectratio="t"/>
                <w10:anchorlock/>
              </v:rect>
            </w:pict>
          </mc:Fallback>
        </mc:AlternateContent>
      </w:r>
      <w:r w:rsidRPr="00F22657">
        <w:rPr>
          <w:rFonts w:ascii="LinLibertine" w:eastAsia="Times New Roman" w:hAnsi="LinLibertine" w:cs="Times New Roman"/>
          <w:color w:val="000000"/>
          <w:sz w:val="30"/>
          <w:szCs w:val="30"/>
        </w:rPr>
        <w:fldChar w:fldCharType="end"/>
      </w:r>
    </w:p>
    <w:p w14:paraId="52241041"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 number of authors have objected to what they see as an artificial restriction that axial coding forces upon the researcher. Hall and Callery (2001), for example, concluded that the intermediary six steps resulted in a “mechanical approach” to data analysis that limited theory building. Kendall (1999) saw that axial coding could be advantageous for beginning researchers, but Kendall added that it forced her from her original research question when she used it in her dissertation. After several years of working with her data, she found herself spending so much time trying to fit the data to the Strauss and Corbin “paradigm model” that she stopped thinking about what the data were communicating about the original study question. She felt that using predetermined categories artificially directed her analysis by limiting her to only thinking about the six categories.</w:t>
      </w:r>
    </w:p>
    <w:p w14:paraId="4C9080A1"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The important thing to remember about the two different approaches is not that the two creators of the grounded theory method disagree on how many steps there should be in the coding process but rather that they agree on almost all other aspects of the process. Data should be </w:t>
      </w:r>
      <w:r w:rsidRPr="00F22657">
        <w:rPr>
          <w:rFonts w:ascii="LinLibertine" w:eastAsia="Times New Roman" w:hAnsi="LinLibertine" w:cs="Times New Roman"/>
          <w:color w:val="000000"/>
          <w:sz w:val="30"/>
          <w:szCs w:val="30"/>
        </w:rPr>
        <w:lastRenderedPageBreak/>
        <w:t>continually compared with new data, coded, and placed in categories for interpretation. The researcher selects both the code and category in the first and last steps of the analysis.</w:t>
      </w:r>
    </w:p>
    <w:p w14:paraId="5EA3735C"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Lee (1999) proposed eight key activities when conducting a grounded theory study (</w:t>
      </w:r>
      <w:hyperlink r:id="rId13" w:anchor="_15031-1034_ch023_box001" w:history="1">
        <w:r w:rsidRPr="00F22657">
          <w:rPr>
            <w:rFonts w:ascii="LinLibertine" w:eastAsia="Times New Roman" w:hAnsi="LinLibertine" w:cs="Times New Roman"/>
            <w:color w:val="0000FF"/>
            <w:sz w:val="30"/>
            <w:szCs w:val="30"/>
            <w:u w:val="single"/>
          </w:rPr>
          <w:t>Box 23.1</w:t>
        </w:r>
      </w:hyperlink>
      <w:r w:rsidRPr="00F22657">
        <w:rPr>
          <w:rFonts w:ascii="LinLibertine" w:eastAsia="Times New Roman" w:hAnsi="LinLibertine" w:cs="Times New Roman"/>
          <w:color w:val="000000"/>
          <w:sz w:val="30"/>
          <w:szCs w:val="30"/>
        </w:rPr>
        <w:t>). Lee emphasized the importance of continuous comparisons of categories in his list of actions, but he did not include the Strauss and Corbin axial coding process. In this way, it is very similar to the original Glaser and Strauss proposal.</w:t>
      </w:r>
    </w:p>
    <w:p w14:paraId="3F8D6637" w14:textId="77777777" w:rsidR="0061791E" w:rsidRPr="00F22657" w:rsidRDefault="0061791E" w:rsidP="0061791E">
      <w:pPr>
        <w:spacing w:line="507" w:lineRule="atLeast"/>
        <w:jc w:val="center"/>
        <w:outlineLvl w:val="0"/>
        <w:rPr>
          <w:rFonts w:ascii="LinLibertine" w:eastAsia="Times New Roman" w:hAnsi="LinLibertine" w:cs="Times New Roman"/>
          <w:b/>
          <w:bCs/>
          <w:color w:val="000000"/>
          <w:kern w:val="36"/>
          <w:sz w:val="39"/>
          <w:szCs w:val="39"/>
        </w:rPr>
      </w:pPr>
      <w:hyperlink r:id="rId14" w:anchor="R_15031-1034_ch023_box001" w:history="1">
        <w:r w:rsidRPr="00F22657">
          <w:rPr>
            <w:rFonts w:ascii="LinLibertine" w:eastAsia="Times New Roman" w:hAnsi="LinLibertine" w:cs="Times New Roman"/>
            <w:color w:val="0000FF"/>
            <w:kern w:val="36"/>
            <w:sz w:val="35"/>
            <w:szCs w:val="35"/>
            <w:u w:val="single"/>
          </w:rPr>
          <w:t>Box 23.1</w:t>
        </w:r>
        <w:r w:rsidRPr="00F22657">
          <w:rPr>
            <w:rFonts w:ascii="LinLibertine" w:eastAsia="Times New Roman" w:hAnsi="LinLibertine" w:cs="Times New Roman"/>
            <w:b/>
            <w:bCs/>
            <w:color w:val="0000FF"/>
            <w:kern w:val="36"/>
            <w:sz w:val="39"/>
            <w:szCs w:val="39"/>
            <w:u w:val="single"/>
          </w:rPr>
          <w:br/>
          <w:t>The Eight Key Actions in Grounded Theory Research</w:t>
        </w:r>
      </w:hyperlink>
    </w:p>
    <w:p w14:paraId="2E9724FF"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1. The researcher comes up with some ideas, questions, or concepts about some area of interest. These ideas can come from the researcher’s own experience in the field, from a few key interviews, or from an analysis of the published literature.</w:t>
      </w:r>
    </w:p>
    <w:p w14:paraId="77731C61"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2. By creatively looking at the ideas, questions, or concepts, the researcher proposes some possible underlying concepts for the phenomena and their relationships (linkages).</w:t>
      </w:r>
    </w:p>
    <w:p w14:paraId="1614BBF6"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3. The researcher now tests these initial linkages by comparing them with real-world data.</w:t>
      </w:r>
    </w:p>
    <w:p w14:paraId="347B969F"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4. By continually comparing the concepts to the objective-world phenomena, the first steps in testing a theory take place.</w:t>
      </w:r>
    </w:p>
    <w:p w14:paraId="044E2BD4"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5. By continually analyzing the data and comparing new data against the concepts, the researcher works to integrate, simplify, and reduce the concepts, seeking to establish core concepts.</w:t>
      </w:r>
    </w:p>
    <w:p w14:paraId="45F4243B"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6. The researcher prepares “theoretical memos” (these are simply preliminary attempts to spell out possible connections and/or theoretical explanations). This is now a continuing process, requiring the researcher to continually test and revise possible theory.</w:t>
      </w:r>
    </w:p>
    <w:p w14:paraId="421EB876"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7. The researcher continues to collect data and to code data by categories and/or characteristics while also producing theoretical interpretations of the material; this often requires the researcher to go back and repeat earlier steps in the process.</w:t>
      </w:r>
    </w:p>
    <w:p w14:paraId="2F975638" w14:textId="77777777" w:rsidR="0061791E" w:rsidRPr="00F22657" w:rsidRDefault="0061791E" w:rsidP="0061791E">
      <w:pPr>
        <w:numPr>
          <w:ilvl w:val="0"/>
          <w:numId w:val="3"/>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 8. The researcher prepares a final research report. In grounded theory research, this is not simply a “detached, mechanical process”; it is instead a key part of the research process.</w:t>
      </w:r>
    </w:p>
    <w:p w14:paraId="5BD36388" w14:textId="77777777" w:rsidR="0061791E" w:rsidRPr="00F22657" w:rsidRDefault="0061791E" w:rsidP="0061791E">
      <w:pPr>
        <w:spacing w:before="240"/>
        <w:ind w:firstLine="240"/>
        <w:rPr>
          <w:rFonts w:ascii="LinLibertine" w:eastAsia="Times New Roman" w:hAnsi="LinLibertine" w:cs="Times New Roman"/>
          <w:color w:val="000000"/>
          <w:sz w:val="27"/>
          <w:szCs w:val="27"/>
        </w:rPr>
      </w:pPr>
      <w:r w:rsidRPr="00F22657">
        <w:rPr>
          <w:rFonts w:ascii="LinLibertine" w:eastAsia="Times New Roman" w:hAnsi="LinLibertine" w:cs="Times New Roman"/>
          <w:i/>
          <w:iCs/>
          <w:color w:val="000000"/>
          <w:sz w:val="27"/>
          <w:szCs w:val="27"/>
        </w:rPr>
        <w:lastRenderedPageBreak/>
        <w:t>Source:</w:t>
      </w:r>
      <w:r w:rsidRPr="00F22657">
        <w:rPr>
          <w:rFonts w:ascii="LinLibertine" w:eastAsia="Times New Roman" w:hAnsi="LinLibertine" w:cs="Times New Roman"/>
          <w:color w:val="000000"/>
          <w:sz w:val="27"/>
          <w:szCs w:val="27"/>
        </w:rPr>
        <w:t> Lee 1999.</w:t>
      </w:r>
    </w:p>
    <w:p w14:paraId="579E334B"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15" w:anchor="R_15031-1034_h1_ch023_003" w:history="1">
        <w:r w:rsidRPr="00F22657">
          <w:rPr>
            <w:rFonts w:ascii="LinLibertine" w:eastAsia="Times New Roman" w:hAnsi="LinLibertine" w:cs="Times New Roman"/>
            <w:b/>
            <w:bCs/>
            <w:color w:val="0000FF"/>
            <w:sz w:val="45"/>
            <w:szCs w:val="45"/>
            <w:u w:val="single"/>
          </w:rPr>
          <w:t>Stages of Grounded Theory Research</w:t>
        </w:r>
      </w:hyperlink>
    </w:p>
    <w:p w14:paraId="6B22AABF" w14:textId="77777777" w:rsidR="0061791E" w:rsidRPr="00F22657" w:rsidRDefault="0061791E" w:rsidP="0061791E">
      <w:pPr>
        <w:jc w:val="both"/>
        <w:rPr>
          <w:rFonts w:ascii="LinLibertine" w:eastAsia="Times New Roman" w:hAnsi="LinLibertine" w:cs="Times New Roman"/>
          <w:color w:val="000000"/>
          <w:sz w:val="30"/>
          <w:szCs w:val="30"/>
        </w:rPr>
      </w:pPr>
      <w:hyperlink r:id="rId16" w:anchor="_15031-1034_ch023_Figure_003" w:history="1">
        <w:r w:rsidRPr="00F22657">
          <w:rPr>
            <w:rFonts w:ascii="LinLibertine" w:eastAsia="Times New Roman" w:hAnsi="LinLibertine" w:cs="Times New Roman"/>
            <w:color w:val="0000FF"/>
            <w:sz w:val="30"/>
            <w:szCs w:val="30"/>
            <w:u w:val="single"/>
          </w:rPr>
          <w:t>Figure 23.3</w:t>
        </w:r>
      </w:hyperlink>
      <w:r w:rsidRPr="00F22657">
        <w:rPr>
          <w:rFonts w:ascii="LinLibertine" w:eastAsia="Times New Roman" w:hAnsi="LinLibertine" w:cs="Times New Roman"/>
          <w:color w:val="000000"/>
          <w:sz w:val="30"/>
          <w:szCs w:val="30"/>
        </w:rPr>
        <w:t> is a model of the grounded theory research process developed to illustrate the sequential nature of the method. Glaser and Strauss (1967) described the seven key steps in this process in detail in their narrative on how the method was developed, and then it was reiterated elsewhere (e.g., Glaser 1992; Strauss and Corbin 1997).</w:t>
      </w:r>
    </w:p>
    <w:p w14:paraId="2BFD4DCF"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1: Select a Topic of Interest</w:t>
      </w:r>
    </w:p>
    <w:p w14:paraId="2F9ED1BF"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Researchers in public administration develop theories that seek to explain and predict human behavior among public employees or citizens who are in some way affected by or who influence public decisions. In this way, the theories become “a strategy for handling data in research, providing modes of conceptualization for describing and explaining” (Glaser and Strauss 1967, 3).</w:t>
      </w:r>
    </w:p>
    <w:p w14:paraId="7AE1542A"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research topics—areas of interest to study—are not hard to find. They are everywhere in the researcher’s field of interest, career field, and the practice of administrating for the public good. The key thing to avoid in grounded theory is approaching a study area with a preconceived hypothesis. The hypothesis must come from the data. Glaser (1992), warning budding researchers to avoid the advice of others, cautioned,</w:t>
      </w:r>
    </w:p>
    <w:p w14:paraId="3166CFE9" w14:textId="77777777" w:rsidR="0061791E" w:rsidRPr="00F22657" w:rsidRDefault="0061791E" w:rsidP="0061791E">
      <w:pPr>
        <w:spacing w:line="351" w:lineRule="atLeast"/>
        <w:jc w:val="both"/>
        <w:rPr>
          <w:rFonts w:ascii="LinLibertine" w:eastAsia="Times New Roman" w:hAnsi="LinLibertine" w:cs="Times New Roman"/>
          <w:color w:val="000000"/>
          <w:sz w:val="27"/>
          <w:szCs w:val="27"/>
        </w:rPr>
      </w:pPr>
      <w:r w:rsidRPr="00F22657">
        <w:rPr>
          <w:rFonts w:ascii="LinLibertine" w:eastAsia="Times New Roman" w:hAnsi="LinLibertine" w:cs="Times New Roman"/>
          <w:color w:val="000000"/>
          <w:sz w:val="27"/>
          <w:szCs w:val="27"/>
        </w:rPr>
        <w:t>When a research problem is elusive or hard to come by a lot of people tend to give advice … the researcher’s search for the preconceived problem is subject to the whims and wisdoms of advisors with much experience and of colleagues. He should be careful as he may just end up studying his advisor’s pet problem with no yield for him and data for the advisor. And he will likely miss the relevance in the data. (23)</w:t>
      </w:r>
    </w:p>
    <w:p w14:paraId="5042F2D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It is important to remember that the identification of a research question is not a statement that clearly and succinctly identifies the topic that is going to be studied. Rather, the problem emerges from the data as they are collected. Open coding, selective (theoretical) sampling, and constant analysis of this information—these form a focus for the research study.</w:t>
      </w:r>
    </w:p>
    <w:p w14:paraId="336AE9BD" w14:textId="77777777" w:rsidR="0061791E" w:rsidRPr="00F22657" w:rsidRDefault="0061791E" w:rsidP="0061791E">
      <w:pPr>
        <w:spacing w:after="120"/>
        <w:ind w:left="1128" w:hanging="1128"/>
        <w:rPr>
          <w:rFonts w:ascii="LinLibertine" w:eastAsia="Times New Roman" w:hAnsi="LinLibertine" w:cs="Times New Roman"/>
          <w:b/>
          <w:bCs/>
          <w:color w:val="000000"/>
          <w:sz w:val="27"/>
          <w:szCs w:val="27"/>
        </w:rPr>
      </w:pPr>
      <w:hyperlink r:id="rId17" w:anchor="R_15031-1034_ch023_Figure_003" w:history="1">
        <w:r w:rsidRPr="00F22657">
          <w:rPr>
            <w:rFonts w:ascii="LinLibertine" w:eastAsia="Times New Roman" w:hAnsi="LinLibertine" w:cs="Times New Roman"/>
            <w:color w:val="0000FF"/>
            <w:u w:val="single"/>
          </w:rPr>
          <w:t>Figure 23.3</w:t>
        </w:r>
        <w:r w:rsidRPr="00F22657">
          <w:rPr>
            <w:rFonts w:ascii="LinLibertine" w:eastAsia="Times New Roman" w:hAnsi="LinLibertine" w:cs="Times New Roman"/>
            <w:b/>
            <w:bCs/>
            <w:color w:val="0000FF"/>
            <w:u w:val="single"/>
          </w:rPr>
          <w:t> </w:t>
        </w:r>
        <w:r w:rsidRPr="00F22657">
          <w:rPr>
            <w:rFonts w:ascii="LinLibertine" w:eastAsia="Times New Roman" w:hAnsi="LinLibertine" w:cs="Times New Roman"/>
            <w:b/>
            <w:bCs/>
            <w:color w:val="0000FF"/>
            <w:u w:val="single"/>
          </w:rPr>
          <w:t>The Grounded Theory Process</w:t>
        </w:r>
      </w:hyperlink>
    </w:p>
    <w:p w14:paraId="2795C404" w14:textId="77777777" w:rsidR="0061791E" w:rsidRPr="00F22657" w:rsidRDefault="0061791E" w:rsidP="0061791E">
      <w:pPr>
        <w:jc w:val="center"/>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fldChar w:fldCharType="begin"/>
      </w:r>
      <w:r w:rsidRPr="00F22657">
        <w:rPr>
          <w:rFonts w:ascii="LinLibertine" w:eastAsia="Times New Roman" w:hAnsi="LinLibertine" w:cs="Times New Roman"/>
          <w:color w:val="000000"/>
          <w:sz w:val="30"/>
          <w:szCs w:val="30"/>
        </w:rPr>
        <w:instrText xml:space="preserve"> INCLUDEPICTURE "https://jigsaw.vitalsource.com/books/9781351721479/epub/OEBPS/Images/ch023_fig_003.jpg" \* MERGEFORMATINET </w:instrText>
      </w:r>
      <w:r w:rsidRPr="00F22657">
        <w:rPr>
          <w:rFonts w:ascii="LinLibertine" w:eastAsia="Times New Roman" w:hAnsi="LinLibertine" w:cs="Times New Roman"/>
          <w:color w:val="000000"/>
          <w:sz w:val="30"/>
          <w:szCs w:val="30"/>
        </w:rPr>
        <w:fldChar w:fldCharType="separate"/>
      </w:r>
      <w:r w:rsidRPr="00F22657">
        <w:rPr>
          <w:rFonts w:ascii="LinLibertine" w:eastAsia="Times New Roman" w:hAnsi="LinLibertine" w:cs="Times New Roman"/>
          <w:noProof/>
          <w:color w:val="000000"/>
          <w:sz w:val="30"/>
          <w:szCs w:val="30"/>
        </w:rPr>
        <mc:AlternateContent>
          <mc:Choice Requires="wps">
            <w:drawing>
              <wp:inline distT="0" distB="0" distL="0" distR="0" wp14:anchorId="088EB612" wp14:editId="65EB988B">
                <wp:extent cx="302260" cy="302260"/>
                <wp:effectExtent l="0" t="0" r="0" b="0"/>
                <wp:docPr id="6" name="Rectangle 6" descr="Figure 2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DC9804" id="Rectangle 6" o:spid="_x0000_s1026" alt="Figure 23.3"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" filled="f" stroked="f">
                <o:lock v:ext="edit" aspectratio="t"/>
                <w10:anchorlock/>
              </v:rect>
            </w:pict>
          </mc:Fallback>
        </mc:AlternateContent>
      </w:r>
      <w:r w:rsidRPr="00F22657">
        <w:rPr>
          <w:rFonts w:ascii="LinLibertine" w:eastAsia="Times New Roman" w:hAnsi="LinLibertine" w:cs="Times New Roman"/>
          <w:color w:val="000000"/>
          <w:sz w:val="30"/>
          <w:szCs w:val="30"/>
        </w:rPr>
        <w:fldChar w:fldCharType="end"/>
      </w:r>
    </w:p>
    <w:p w14:paraId="378D8474"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lastRenderedPageBreak/>
        <w:t>Stage 2: Determine a Purpose for the Research</w:t>
      </w:r>
    </w:p>
    <w:p w14:paraId="4B1F160E"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Glaser and Strauss (1967) identified five main purposes or uses for grounded theory: (1) to evaluate accuracy of earlier evidence, (2) to make generalizations based on experience, (3) to identify a unit of measurement for a one-case study, (4) to verify an existing theory, and (5) to generate a theory.</w:t>
      </w:r>
    </w:p>
    <w:p w14:paraId="029DEE9B"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Evaluating Evidence</w:t>
      </w:r>
    </w:p>
    <w:p w14:paraId="7FD769C6"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Data from additional groups are collected to compare with data that have already been collected for the purpose of evaluating whether the first evidence was correct. This often serves as a test for replicability and can be applied for validating internal (from within the study group) and external evidence (data from sources other than the study group). This can be a powerful and important use for grounded theory because a study’s categories and properties are generated from collected evidence. Collected and compared evidence are used as a defining illustration of the conceptual category. Glaser and Strauss (1967) considered these categories to be the fundamental building blocks of theory: “In generating theory, it is not the fact upon which we stand but the conceptual category that was generated from it” (23).</w:t>
      </w:r>
    </w:p>
    <w:p w14:paraId="0601DD5A"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Establishing Generalizations from the Data</w:t>
      </w:r>
    </w:p>
    <w:p w14:paraId="10957906"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If a theory is to emerge from the collected “facts,” then they must be generalizable to other situations; otherwise, they remain isolated bits of data, that is, interesting but irrelevant. If they are only applicable to a single case, group, circumstance, or situation, then they remain descriptors of only that specific phenomenon. In searching for generalizations, or </w:t>
      </w:r>
      <w:r w:rsidRPr="00F22657">
        <w:rPr>
          <w:rFonts w:ascii="LinLibertine" w:eastAsia="Times New Roman" w:hAnsi="LinLibertine" w:cs="Times New Roman"/>
          <w:i/>
          <w:iCs/>
          <w:color w:val="000000"/>
          <w:sz w:val="30"/>
          <w:szCs w:val="30"/>
        </w:rPr>
        <w:t>universals</w:t>
      </w:r>
      <w:r w:rsidRPr="00F22657">
        <w:rPr>
          <w:rFonts w:ascii="LinLibertine" w:eastAsia="Times New Roman" w:hAnsi="LinLibertine" w:cs="Times New Roman"/>
          <w:color w:val="000000"/>
          <w:sz w:val="30"/>
          <w:szCs w:val="30"/>
        </w:rPr>
        <w:t>, the researcher establishes boundaries of applicability while concurrently attempting to broaden the theory.</w:t>
      </w:r>
    </w:p>
    <w:p w14:paraId="51509EEA"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Specifying a Concept</w:t>
      </w:r>
    </w:p>
    <w:p w14:paraId="1CED58A4"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This is the first step in a design requiring specific identification of a study sample or population for a one-case study. The comparative evaluations of grounded theory are used to clearly identify the key concept that makes the study group distinctive. These concepts tell the reader why you chose to study one group and not another. They involve </w:t>
      </w:r>
      <w:r w:rsidRPr="00F22657">
        <w:rPr>
          <w:rFonts w:ascii="LinLibertine" w:eastAsia="Times New Roman" w:hAnsi="LinLibertine" w:cs="Times New Roman"/>
          <w:color w:val="000000"/>
          <w:sz w:val="30"/>
          <w:szCs w:val="30"/>
        </w:rPr>
        <w:lastRenderedPageBreak/>
        <w:t>comparing the unit of analysis (individuals or groups) selected for the study with other units that are not selected. This comparison often brings to light the distinctive properties of the selected unit.</w:t>
      </w:r>
    </w:p>
    <w:p w14:paraId="586E590E"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For example, a study of homeless women—such as Alice Waterston’s (1999) </w:t>
      </w:r>
      <w:r w:rsidRPr="00F22657">
        <w:rPr>
          <w:rFonts w:ascii="LinLibertine" w:eastAsia="Times New Roman" w:hAnsi="LinLibertine" w:cs="Times New Roman"/>
          <w:i/>
          <w:iCs/>
          <w:color w:val="000000"/>
          <w:sz w:val="30"/>
          <w:szCs w:val="30"/>
        </w:rPr>
        <w:t>Love, Sorrow, and Rage: Destitute Women in a Manhattan Residence</w:t>
      </w:r>
      <w:r w:rsidRPr="00F22657">
        <w:rPr>
          <w:rFonts w:ascii="LinLibertine" w:eastAsia="Times New Roman" w:hAnsi="LinLibertine" w:cs="Times New Roman"/>
          <w:color w:val="000000"/>
          <w:sz w:val="30"/>
          <w:szCs w:val="30"/>
        </w:rPr>
        <w:t>—has many different categories of subjects from which to select a sample. Waterston chose to study a group of homeless women who were HIV-positive or likely to be HIV-positive and were residing at a shelter in a metropolitan area. Her data analysis began with a comparison of the characteristics of this study group with other similar groups of women at risk. By revealing the specific characteristics of the study group that are of interest, she distinguished the study group from other groups that were not included.</w:t>
      </w:r>
    </w:p>
    <w:p w14:paraId="1C5B40E2"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Verifying a Theory</w:t>
      </w:r>
    </w:p>
    <w:p w14:paraId="73D4ECEC"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When conducting a grounded theory research study for the purpose of verifying an existing theory, the researcher focuses on finding information that corroborates the existing concept. In the process, the researcher generates new theories only for the purpose of adjusting or modifying the original theory. No new theories are sought. Neither Glaser nor Strauss says much about this potential use for the grounded theory method, emphasizing instead its role in generating new theory.</w:t>
      </w:r>
    </w:p>
    <w:p w14:paraId="4A921D3C"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Generating Theory</w:t>
      </w:r>
    </w:p>
    <w:p w14:paraId="6278583E"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This is the primary purpose of grounded theory research; the researcher’s main goal is the systematic generation of new theories from the collected data. There are two broad types of theory that can be generated through this process: substantive theory and formal theory. </w:t>
      </w:r>
      <w:r w:rsidRPr="00F22657">
        <w:rPr>
          <w:rFonts w:ascii="LinLibertine" w:eastAsia="Times New Roman" w:hAnsi="LinLibertine" w:cs="Times New Roman"/>
          <w:i/>
          <w:iCs/>
          <w:color w:val="000000"/>
          <w:sz w:val="30"/>
          <w:szCs w:val="30"/>
        </w:rPr>
        <w:t>Substantive</w:t>
      </w:r>
      <w:r w:rsidRPr="00F22657">
        <w:rPr>
          <w:rFonts w:ascii="LinLibertine" w:eastAsia="Times New Roman" w:hAnsi="LinLibertine" w:cs="Times New Roman"/>
          <w:color w:val="000000"/>
          <w:sz w:val="30"/>
          <w:szCs w:val="30"/>
        </w:rPr>
        <w:t> theory addresses specific empirical or applied tasks in public administration, such as police and fire department community relations, management development programs and employee training, solid waste disposal, water purity, road construction, and city planning. By contrast, </w:t>
      </w:r>
      <w:r w:rsidRPr="00F22657">
        <w:rPr>
          <w:rFonts w:ascii="LinLibertine" w:eastAsia="Times New Roman" w:hAnsi="LinLibertine" w:cs="Times New Roman"/>
          <w:i/>
          <w:iCs/>
          <w:color w:val="000000"/>
          <w:sz w:val="30"/>
          <w:szCs w:val="30"/>
        </w:rPr>
        <w:t>formal</w:t>
      </w:r>
      <w:r w:rsidRPr="00F22657">
        <w:rPr>
          <w:rFonts w:ascii="LinLibertine" w:eastAsia="Times New Roman" w:hAnsi="LinLibertine" w:cs="Times New Roman"/>
          <w:color w:val="000000"/>
          <w:sz w:val="30"/>
          <w:szCs w:val="30"/>
        </w:rPr>
        <w:t> theory deals with broader, often philosophical issues, such as public participation in the democratic process, authority and power in management situations, and reward systems.</w:t>
      </w:r>
    </w:p>
    <w:p w14:paraId="3DDE2D5F"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Both of these applications are what Glaser and Strauss (1967) identified as “middle-range,” meaning they fall somewhere between practical working hypotheses in the everyday conduct of an </w:t>
      </w:r>
      <w:r w:rsidRPr="00F22657">
        <w:rPr>
          <w:rFonts w:ascii="LinLibertine" w:eastAsia="Times New Roman" w:hAnsi="LinLibertine" w:cs="Times New Roman"/>
          <w:color w:val="000000"/>
          <w:sz w:val="30"/>
          <w:szCs w:val="30"/>
        </w:rPr>
        <w:lastRenderedPageBreak/>
        <w:t>administrator’s job and all-inclusive “grand theories,” such as global warming (32, 33). It is important to note that both of these types of theories must be grounded in data if they are to be accepted as relevant.</w:t>
      </w:r>
    </w:p>
    <w:p w14:paraId="0F7F701A"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3: Select a Group to Study</w:t>
      </w:r>
    </w:p>
    <w:p w14:paraId="26FC6013"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Determining where to go to obtain the data needed for a research study remains one of the major issues that confront grounded theory researchers. Researchers need to know who can provide the information that illustrates the central or core concept in the study. Strauss and Corbin (1997) call this the </w:t>
      </w:r>
      <w:r w:rsidRPr="00F22657">
        <w:rPr>
          <w:rFonts w:ascii="LinLibertine" w:eastAsia="Times New Roman" w:hAnsi="LinLibertine" w:cs="Times New Roman"/>
          <w:i/>
          <w:iCs/>
          <w:color w:val="000000"/>
          <w:sz w:val="30"/>
          <w:szCs w:val="30"/>
        </w:rPr>
        <w:t>theoretical sampling</w:t>
      </w:r>
      <w:r w:rsidRPr="00F22657">
        <w:rPr>
          <w:rFonts w:ascii="LinLibertine" w:eastAsia="Times New Roman" w:hAnsi="LinLibertine" w:cs="Times New Roman"/>
          <w:color w:val="000000"/>
          <w:sz w:val="30"/>
          <w:szCs w:val="30"/>
        </w:rPr>
        <w:t> problem and define it as the process of picking the sources that can provide the most information about the research topic. The aim of theoretical sampling is “to maximize opportunities to compare events, incidents, or happenings to determine how a category varies in terms of its properties and dimensions” (202). This suggests that the researcher must be more concerned with ensuring the representativeness of the sample than in the concept of randomness. Researchers are encouraged to carefully select the participants from whom information will be acquired. This becomes even more important as the study progresses. Sampling must become more specific with time because the theory that is emerging must eventually control the sample selection. Once some categories are established, all further sampling must be focused on developing, solidifying, and enriching the formed categories. Glaser and Strauss (1967) stated it this way in their description of their development of the technique:</w:t>
      </w:r>
    </w:p>
    <w:p w14:paraId="3AFE8F72" w14:textId="77777777" w:rsidR="0061791E" w:rsidRPr="00F22657" w:rsidRDefault="0061791E" w:rsidP="0061791E">
      <w:pPr>
        <w:spacing w:line="351" w:lineRule="atLeast"/>
        <w:jc w:val="both"/>
        <w:rPr>
          <w:rFonts w:ascii="LinLibertine" w:eastAsia="Times New Roman" w:hAnsi="LinLibertine" w:cs="Times New Roman"/>
          <w:color w:val="000000"/>
          <w:sz w:val="27"/>
          <w:szCs w:val="27"/>
        </w:rPr>
      </w:pPr>
      <w:r w:rsidRPr="00F22657">
        <w:rPr>
          <w:rFonts w:ascii="LinLibertine" w:eastAsia="Times New Roman" w:hAnsi="LinLibertine" w:cs="Times New Roman"/>
          <w:color w:val="000000"/>
          <w:sz w:val="27"/>
          <w:szCs w:val="27"/>
        </w:rPr>
        <w:t>The basic question in theoretical sampling is: what groups or subgroups does one turn to next in data collections? And for what theoretical purpose? In short, how does the [researcher] select multiple comparison groups? The possibilities of multiple comparisons are infinite, and so groups must be chosen according to theoretical criteria. (47)</w:t>
      </w:r>
    </w:p>
    <w:p w14:paraId="52D1DA63"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4: Collect Research Data</w:t>
      </w:r>
    </w:p>
    <w:p w14:paraId="57B3D6DD"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There are no restrictions to how data are collected in a grounded theory design. However, most researchers use personal interviews, simple or naturalistic observation, narratives, and document or artifact analysis. One of the distinctive characteristics of the grounded theory method is that the data collection, coding, and interpretation stages of the research are carried out in concert, not as individual activities. One </w:t>
      </w:r>
      <w:r w:rsidRPr="00F22657">
        <w:rPr>
          <w:rFonts w:ascii="LinLibertine" w:eastAsia="Times New Roman" w:hAnsi="LinLibertine" w:cs="Times New Roman"/>
          <w:color w:val="000000"/>
          <w:sz w:val="30"/>
          <w:szCs w:val="30"/>
        </w:rPr>
        <w:lastRenderedPageBreak/>
        <w:t>leads to the other, then on to the next, and back again. These steps “should blur and intertwine continually, from the beginning of an investigation to its end” (Glaser and Strauss 1967, 43).</w:t>
      </w:r>
    </w:p>
    <w:p w14:paraId="2946C06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methodology can be used for arriving at theories from data that are collected in any type of social research—quantitative and qualitative. All theories are developed for one or both of two fundamental purposes: to explain or to predict.</w:t>
      </w:r>
    </w:p>
    <w:p w14:paraId="1A4F8995"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5: Open Coding of Data</w:t>
      </w:r>
    </w:p>
    <w:p w14:paraId="785DD704"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i/>
          <w:iCs/>
          <w:color w:val="000000"/>
          <w:sz w:val="30"/>
          <w:szCs w:val="30"/>
        </w:rPr>
        <w:t>Coding</w:t>
      </w:r>
      <w:r w:rsidRPr="00F22657">
        <w:rPr>
          <w:rFonts w:ascii="LinLibertine" w:eastAsia="Times New Roman" w:hAnsi="LinLibertine" w:cs="Times New Roman"/>
          <w:color w:val="000000"/>
          <w:sz w:val="30"/>
          <w:szCs w:val="30"/>
        </w:rPr>
        <w:t> is the process of applying some conceptually meaningful set of identifiers to the concepts, categories, and characteristics. The key things to remember about open coding are that it is always the </w:t>
      </w:r>
      <w:r w:rsidRPr="00F22657">
        <w:rPr>
          <w:rFonts w:ascii="LinLibertine" w:eastAsia="Times New Roman" w:hAnsi="LinLibertine" w:cs="Times New Roman"/>
          <w:i/>
          <w:iCs/>
          <w:color w:val="000000"/>
          <w:sz w:val="30"/>
          <w:szCs w:val="30"/>
        </w:rPr>
        <w:t>initial</w:t>
      </w:r>
      <w:r w:rsidRPr="00F22657">
        <w:rPr>
          <w:rFonts w:ascii="LinLibertine" w:eastAsia="Times New Roman" w:hAnsi="LinLibertine" w:cs="Times New Roman"/>
          <w:color w:val="000000"/>
          <w:sz w:val="30"/>
          <w:szCs w:val="30"/>
        </w:rPr>
        <w:t> step in data analysis and that its purpose is to establish (or discover) categories and their properties.</w:t>
      </w:r>
    </w:p>
    <w:p w14:paraId="430EB601"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i/>
          <w:iCs/>
          <w:color w:val="000000"/>
          <w:sz w:val="30"/>
          <w:szCs w:val="30"/>
        </w:rPr>
        <w:t>Open coding</w:t>
      </w:r>
      <w:r w:rsidRPr="00F22657">
        <w:rPr>
          <w:rFonts w:ascii="LinLibertine" w:eastAsia="Times New Roman" w:hAnsi="LinLibertine" w:cs="Times New Roman"/>
          <w:color w:val="000000"/>
          <w:sz w:val="30"/>
          <w:szCs w:val="30"/>
        </w:rPr>
        <w:t> is the free assignment of data to what the researcher sees as the naturally appearing groupings of ideas in the data (Lee 1999). The researcher creates as many categories as needed. These can be looked upon as the fundamental, explanatory factors that identify the central research concept. Each category contains as many bits of data as are found to fit in that category. Data bits are more or less indivisible, and they intuitively fit into just one category.</w:t>
      </w:r>
    </w:p>
    <w:p w14:paraId="2669207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open coding process continues until one or more “core categories” are established. Then the coding process turns either to Strauss and Corbin’s axial coding, using preconceived categories, or proceeds directly to the theoretical coding identified by Glaser and Strauss (1967) or Glaser (1992). </w:t>
      </w:r>
      <w:r w:rsidRPr="00F22657">
        <w:rPr>
          <w:rFonts w:ascii="LinLibertine" w:eastAsia="Times New Roman" w:hAnsi="LinLibertine" w:cs="Times New Roman"/>
          <w:i/>
          <w:iCs/>
          <w:color w:val="000000"/>
          <w:sz w:val="30"/>
          <w:szCs w:val="30"/>
        </w:rPr>
        <w:t>Axial coding</w:t>
      </w:r>
      <w:r w:rsidRPr="00F22657">
        <w:rPr>
          <w:rFonts w:ascii="LinLibertine" w:eastAsia="Times New Roman" w:hAnsi="LinLibertine" w:cs="Times New Roman"/>
          <w:color w:val="000000"/>
          <w:sz w:val="30"/>
          <w:szCs w:val="30"/>
        </w:rPr>
        <w:t> is the process of assigning categories into more-inclusive groupings. Strauss and Corbin (1997) urged the researcher to use the six second-level classifications they proposed. Alternatively, Lee (1999), following the original Glaser and Strauss (1967) model, called for the researcher to propose the axial categories.</w:t>
      </w:r>
    </w:p>
    <w:p w14:paraId="2A0EBEAF"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The researcher first devises several categories that seem to bridge all the open-coded categories. Second, the researcher examines all the open categories to see which fit within the selected second-level category. The remaining data are then compared across the second researcher-selected broader category; those categories that belong are assigned. The process continues until all the data have been compared </w:t>
      </w:r>
      <w:r w:rsidRPr="00F22657">
        <w:rPr>
          <w:rFonts w:ascii="LinLibertine" w:eastAsia="Times New Roman" w:hAnsi="LinLibertine" w:cs="Times New Roman"/>
          <w:color w:val="000000"/>
          <w:sz w:val="30"/>
          <w:szCs w:val="30"/>
        </w:rPr>
        <w:lastRenderedPageBreak/>
        <w:t>against all the second-level categories and classified. Additional axial categories might have to be added to encompass all the data.</w:t>
      </w:r>
    </w:p>
    <w:p w14:paraId="12B6106D"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How to Determine Categories From Data</w:t>
      </w:r>
    </w:p>
    <w:p w14:paraId="6DA0D8B2"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There are no hard and fast rules for grounded theory research (Lee 1999). Even the inventors of the method disagree about how to code and categorize collected data. There are also many different ways to discover or establish meaningful categorical distinctions in data. Miles and Huberman (1984), for example, discuss twelve different ways to go about developing codes for raw data (</w:t>
      </w:r>
      <w:hyperlink r:id="rId18" w:anchor="_15031-1034_ch023_tab_001" w:history="1">
        <w:r w:rsidRPr="00F22657">
          <w:rPr>
            <w:rFonts w:ascii="LinLibertine" w:eastAsia="Times New Roman" w:hAnsi="LinLibertine" w:cs="Times New Roman"/>
            <w:color w:val="0000FF"/>
            <w:sz w:val="30"/>
            <w:szCs w:val="30"/>
            <w:u w:val="single"/>
          </w:rPr>
          <w:t>Table 23.1</w:t>
        </w:r>
      </w:hyperlink>
      <w:r w:rsidRPr="00F22657">
        <w:rPr>
          <w:rFonts w:ascii="LinLibertine" w:eastAsia="Times New Roman" w:hAnsi="LinLibertine" w:cs="Times New Roman"/>
          <w:color w:val="000000"/>
          <w:sz w:val="30"/>
          <w:szCs w:val="30"/>
        </w:rPr>
        <w:t>).</w:t>
      </w:r>
    </w:p>
    <w:p w14:paraId="4EA62038"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An example of a code set developed for an educational site study can be found in Miles and Huberman (1984, 58, 59). These five broad constructs (categories) and their codes were proposed in the preliminary coding: Innovation Properties, External Context, Internal Context, Adoption Process, and Site Dynamics and Transformations. These five constructs are the “core categories” of this study. A different number of characteristics or dimensions were identified for each of the categories. Five of the characteristics that were determined to contribute to the Innovation Properties category were Objectives, Organization, Implied Changes-Classroom, Implied Changes-Organization, and User Salience.</w:t>
      </w:r>
    </w:p>
    <w:p w14:paraId="562EF26A"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 complete set of definitions was developed for each of the categories and the specific characteristic associated with the category. For example, in the Site Dynamics and Transformations (TR) category, the code TR-START was assigned to data that fell into the Initial User Experience category and dimension. The definition for this code was “emotions, events, problems or concerns, assessments, made by teachers and administrators during the first six months of implementation” (Miles and Huberman 1984, 62). Similar definitions are produced for every category/characteristic in the study.</w:t>
      </w:r>
    </w:p>
    <w:p w14:paraId="62169FD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Glaser was adamant that open coding and category building </w:t>
      </w:r>
      <w:r w:rsidRPr="00F22657">
        <w:rPr>
          <w:rFonts w:ascii="LinLibertine" w:eastAsia="Times New Roman" w:hAnsi="LinLibertine" w:cs="Times New Roman"/>
          <w:i/>
          <w:iCs/>
          <w:color w:val="000000"/>
          <w:sz w:val="30"/>
          <w:szCs w:val="30"/>
        </w:rPr>
        <w:t>not</w:t>
      </w:r>
      <w:r w:rsidRPr="00F22657">
        <w:rPr>
          <w:rFonts w:ascii="LinLibertine" w:eastAsia="Times New Roman" w:hAnsi="LinLibertine" w:cs="Times New Roman"/>
          <w:color w:val="000000"/>
          <w:sz w:val="30"/>
          <w:szCs w:val="30"/>
        </w:rPr>
        <w:t> be forced into any preconceived second-level (axial) groupings. By contrast, Strauss and Corbin (1997) give the researcher more leeway in this decision. As a result, both approaches to grounded theory coding are found in the research literature. There is no disagreement regarding the third (and final) coding process, which is selective (or </w:t>
      </w:r>
      <w:r w:rsidRPr="00F22657">
        <w:rPr>
          <w:rFonts w:ascii="LinLibertine" w:eastAsia="Times New Roman" w:hAnsi="LinLibertine" w:cs="Times New Roman"/>
          <w:i/>
          <w:iCs/>
          <w:color w:val="000000"/>
          <w:sz w:val="30"/>
          <w:szCs w:val="30"/>
        </w:rPr>
        <w:t>theoretical</w:t>
      </w:r>
      <w:r w:rsidRPr="00F22657">
        <w:rPr>
          <w:rFonts w:ascii="LinLibertine" w:eastAsia="Times New Roman" w:hAnsi="LinLibertine" w:cs="Times New Roman"/>
          <w:color w:val="000000"/>
          <w:sz w:val="30"/>
          <w:szCs w:val="30"/>
        </w:rPr>
        <w:t>) coding.</w:t>
      </w:r>
    </w:p>
    <w:tbl>
      <w:tblPr>
        <w:tblW w:w="12615" w:type="dxa"/>
        <w:tblCellMar>
          <w:top w:w="15" w:type="dxa"/>
          <w:left w:w="15" w:type="dxa"/>
          <w:bottom w:w="15" w:type="dxa"/>
          <w:right w:w="15" w:type="dxa"/>
        </w:tblCellMar>
        <w:tblLook w:val="04A0" w:firstRow="1" w:lastRow="0" w:firstColumn="1" w:lastColumn="0" w:noHBand="0" w:noVBand="1"/>
      </w:tblPr>
      <w:tblGrid>
        <w:gridCol w:w="5587"/>
        <w:gridCol w:w="7028"/>
      </w:tblGrid>
      <w:tr w:rsidR="0061791E" w:rsidRPr="00F22657" w14:paraId="71E5E143" w14:textId="77777777" w:rsidTr="00B627BF">
        <w:trPr>
          <w:tblHeader/>
        </w:trPr>
        <w:tc>
          <w:tcPr>
            <w:tcW w:w="0" w:type="auto"/>
            <w:gridSpan w:val="2"/>
            <w:tcBorders>
              <w:top w:val="nil"/>
              <w:left w:val="nil"/>
              <w:bottom w:val="nil"/>
              <w:right w:val="nil"/>
            </w:tcBorders>
            <w:vAlign w:val="center"/>
            <w:hideMark/>
          </w:tcPr>
          <w:p w14:paraId="18FE6142" w14:textId="77777777" w:rsidR="0061791E" w:rsidRPr="00F22657" w:rsidRDefault="0061791E" w:rsidP="00B627BF">
            <w:pPr>
              <w:pBdr>
                <w:top w:val="single" w:sz="6" w:space="0" w:color="auto"/>
              </w:pBdr>
              <w:rPr>
                <w:rFonts w:ascii="Times New Roman" w:eastAsia="Times New Roman" w:hAnsi="Times New Roman" w:cs="Times New Roman"/>
                <w:sz w:val="27"/>
                <w:szCs w:val="27"/>
              </w:rPr>
            </w:pPr>
            <w:hyperlink r:id="rId19" w:anchor="R_15031-1034_ch023_tab_001" w:history="1">
              <w:r w:rsidRPr="00F22657">
                <w:rPr>
                  <w:rFonts w:ascii="Times New Roman" w:eastAsia="Times New Roman" w:hAnsi="Times New Roman" w:cs="Times New Roman"/>
                  <w:color w:val="0000FF"/>
                  <w:u w:val="single"/>
                </w:rPr>
                <w:t>Table 23.1</w:t>
              </w:r>
            </w:hyperlink>
          </w:p>
        </w:tc>
      </w:tr>
      <w:tr w:rsidR="0061791E" w:rsidRPr="00F22657" w14:paraId="60B6BB54" w14:textId="77777777" w:rsidTr="00B627BF">
        <w:trPr>
          <w:tblHeader/>
        </w:trPr>
        <w:tc>
          <w:tcPr>
            <w:tcW w:w="0" w:type="auto"/>
            <w:gridSpan w:val="2"/>
            <w:hideMark/>
          </w:tcPr>
          <w:p w14:paraId="1AFFC1B3" w14:textId="77777777" w:rsidR="0061791E" w:rsidRPr="00F22657" w:rsidRDefault="0061791E" w:rsidP="00B627BF">
            <w:pPr>
              <w:spacing w:before="120" w:after="120"/>
              <w:rPr>
                <w:rFonts w:ascii="Times New Roman" w:eastAsia="Times New Roman" w:hAnsi="Times New Roman" w:cs="Times New Roman"/>
                <w:b/>
                <w:bCs/>
                <w:sz w:val="27"/>
                <w:szCs w:val="27"/>
              </w:rPr>
            </w:pPr>
            <w:hyperlink r:id="rId20" w:anchor="R_15031-1034_ch023_tab_001" w:history="1">
              <w:r w:rsidRPr="00F22657">
                <w:rPr>
                  <w:rFonts w:ascii="Times New Roman" w:eastAsia="Times New Roman" w:hAnsi="Times New Roman" w:cs="Times New Roman"/>
                  <w:b/>
                  <w:bCs/>
                  <w:color w:val="0000FF"/>
                  <w:u w:val="single"/>
                </w:rPr>
                <w:t>Tactics for Generating Meaning in Conceptual Categories</w:t>
              </w:r>
            </w:hyperlink>
          </w:p>
        </w:tc>
      </w:tr>
      <w:tr w:rsidR="0061791E" w:rsidRPr="00F22657" w14:paraId="5199D599" w14:textId="77777777" w:rsidTr="00B627BF">
        <w:tc>
          <w:tcPr>
            <w:tcW w:w="0" w:type="auto"/>
            <w:hideMark/>
          </w:tcPr>
          <w:p w14:paraId="5D3D7468"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1. Counting</w:t>
            </w:r>
          </w:p>
        </w:tc>
        <w:tc>
          <w:tcPr>
            <w:tcW w:w="0" w:type="auto"/>
            <w:hideMark/>
          </w:tcPr>
          <w:p w14:paraId="19A7B364"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7. Particular to general</w:t>
            </w:r>
          </w:p>
        </w:tc>
      </w:tr>
      <w:tr w:rsidR="0061791E" w:rsidRPr="00F22657" w14:paraId="244D80F6" w14:textId="77777777" w:rsidTr="00B627BF">
        <w:tc>
          <w:tcPr>
            <w:tcW w:w="0" w:type="auto"/>
            <w:hideMark/>
          </w:tcPr>
          <w:p w14:paraId="15A4395C"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2. Noting patterns, themes</w:t>
            </w:r>
          </w:p>
        </w:tc>
        <w:tc>
          <w:tcPr>
            <w:tcW w:w="0" w:type="auto"/>
            <w:hideMark/>
          </w:tcPr>
          <w:p w14:paraId="58392BAD"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8. Factoring</w:t>
            </w:r>
          </w:p>
        </w:tc>
      </w:tr>
      <w:tr w:rsidR="0061791E" w:rsidRPr="00F22657" w14:paraId="43B3C1D8" w14:textId="77777777" w:rsidTr="00B627BF">
        <w:tc>
          <w:tcPr>
            <w:tcW w:w="0" w:type="auto"/>
            <w:hideMark/>
          </w:tcPr>
          <w:p w14:paraId="4C593389"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3. Seeing plausibility</w:t>
            </w:r>
          </w:p>
        </w:tc>
        <w:tc>
          <w:tcPr>
            <w:tcW w:w="0" w:type="auto"/>
            <w:hideMark/>
          </w:tcPr>
          <w:p w14:paraId="151AE444"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9. Relationships</w:t>
            </w:r>
          </w:p>
        </w:tc>
      </w:tr>
      <w:tr w:rsidR="0061791E" w:rsidRPr="00F22657" w14:paraId="2FF22EA8" w14:textId="77777777" w:rsidTr="00B627BF">
        <w:tc>
          <w:tcPr>
            <w:tcW w:w="0" w:type="auto"/>
            <w:hideMark/>
          </w:tcPr>
          <w:p w14:paraId="62205DB3"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4. Clustering</w:t>
            </w:r>
          </w:p>
        </w:tc>
        <w:tc>
          <w:tcPr>
            <w:tcW w:w="0" w:type="auto"/>
            <w:hideMark/>
          </w:tcPr>
          <w:p w14:paraId="0EB77AE4"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10. Finding intervening variables</w:t>
            </w:r>
          </w:p>
        </w:tc>
      </w:tr>
      <w:tr w:rsidR="0061791E" w:rsidRPr="00F22657" w14:paraId="2B6038BD" w14:textId="77777777" w:rsidTr="00B627BF">
        <w:tc>
          <w:tcPr>
            <w:tcW w:w="0" w:type="auto"/>
            <w:hideMark/>
          </w:tcPr>
          <w:p w14:paraId="78F4B4DA"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5. Making metaphors</w:t>
            </w:r>
          </w:p>
        </w:tc>
        <w:tc>
          <w:tcPr>
            <w:tcW w:w="0" w:type="auto"/>
            <w:hideMark/>
          </w:tcPr>
          <w:p w14:paraId="5ECAF685"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11. Chain of evidence</w:t>
            </w:r>
          </w:p>
        </w:tc>
      </w:tr>
      <w:tr w:rsidR="0061791E" w:rsidRPr="00F22657" w14:paraId="51C2ECAB" w14:textId="77777777" w:rsidTr="00B627BF">
        <w:tc>
          <w:tcPr>
            <w:tcW w:w="0" w:type="auto"/>
            <w:hideMark/>
          </w:tcPr>
          <w:p w14:paraId="256D7E22"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6. Splitting variables</w:t>
            </w:r>
          </w:p>
        </w:tc>
        <w:tc>
          <w:tcPr>
            <w:tcW w:w="0" w:type="auto"/>
            <w:hideMark/>
          </w:tcPr>
          <w:p w14:paraId="748C9F29" w14:textId="77777777" w:rsidR="0061791E" w:rsidRPr="00F22657" w:rsidRDefault="0061791E" w:rsidP="00B627BF">
            <w:pPr>
              <w:rPr>
                <w:rFonts w:ascii="Times New Roman" w:eastAsia="Times New Roman" w:hAnsi="Times New Roman" w:cs="Times New Roman"/>
              </w:rPr>
            </w:pPr>
            <w:r w:rsidRPr="00F22657">
              <w:rPr>
                <w:rFonts w:ascii="Times New Roman" w:eastAsia="Times New Roman" w:hAnsi="Times New Roman" w:cs="Times New Roman"/>
              </w:rPr>
              <w:t>12. Theoretical coherence</w:t>
            </w:r>
          </w:p>
        </w:tc>
      </w:tr>
      <w:tr w:rsidR="0061791E" w:rsidRPr="00F22657" w14:paraId="5BA578D5" w14:textId="77777777" w:rsidTr="00B627BF">
        <w:tc>
          <w:tcPr>
            <w:tcW w:w="0" w:type="auto"/>
            <w:gridSpan w:val="2"/>
            <w:tcBorders>
              <w:bottom w:val="single" w:sz="6" w:space="0" w:color="auto"/>
            </w:tcBorders>
            <w:hideMark/>
          </w:tcPr>
          <w:p w14:paraId="3DFE30DE" w14:textId="77777777" w:rsidR="0061791E" w:rsidRPr="00F22657" w:rsidRDefault="0061791E" w:rsidP="00B627BF">
            <w:pPr>
              <w:spacing w:before="240"/>
              <w:ind w:firstLine="240"/>
              <w:rPr>
                <w:rFonts w:ascii="Times New Roman" w:eastAsia="Times New Roman" w:hAnsi="Times New Roman" w:cs="Times New Roman"/>
                <w:sz w:val="27"/>
                <w:szCs w:val="27"/>
              </w:rPr>
            </w:pPr>
            <w:r w:rsidRPr="00F22657">
              <w:rPr>
                <w:rFonts w:ascii="Times New Roman" w:eastAsia="Times New Roman" w:hAnsi="Times New Roman" w:cs="Times New Roman"/>
                <w:i/>
                <w:iCs/>
                <w:sz w:val="27"/>
                <w:szCs w:val="27"/>
              </w:rPr>
              <w:t>Source:</w:t>
            </w:r>
            <w:r w:rsidRPr="00F22657">
              <w:rPr>
                <w:rFonts w:ascii="Times New Roman" w:eastAsia="Times New Roman" w:hAnsi="Times New Roman" w:cs="Times New Roman"/>
                <w:sz w:val="27"/>
                <w:szCs w:val="27"/>
              </w:rPr>
              <w:t> Miles and Huberman 1984, p. 215.</w:t>
            </w:r>
          </w:p>
        </w:tc>
      </w:tr>
    </w:tbl>
    <w:p w14:paraId="76196874"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6: Selective (or Theoretical) Coding of Data</w:t>
      </w:r>
    </w:p>
    <w:p w14:paraId="47C92B9E"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Selective or theoretical coding is the name given to the process of imposing a final structure on the data and establishing rank-order importance of the conceptual categories (Lee 1999). Just as in the second-level coding process, the researcher proposes a small number of overarching categories. Next, these categories are ordered according to how the researcher sees their potential to contain or explain the collected data. In the third step, the researcher picks what is the most powerful or important category; all of the data are then judged for their fit in that theoretical category. The researcher then repeats the process, picking a second most important category and all remaining data that fit in this category. The process continues until all data are categorized. The researcher is then ready to develop a theory about the phenomenon.</w:t>
      </w:r>
    </w:p>
    <w:p w14:paraId="0B9B2172"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From Core Categories to Grounded Theory</w:t>
      </w:r>
    </w:p>
    <w:p w14:paraId="595ECC1C"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underlying purpose of all theory is to explain, predict, or both. Theories are built in a process that moves from the </w:t>
      </w:r>
      <w:r w:rsidRPr="00F22657">
        <w:rPr>
          <w:rFonts w:ascii="LinLibertine" w:eastAsia="Times New Roman" w:hAnsi="LinLibertine" w:cs="Times New Roman"/>
          <w:i/>
          <w:iCs/>
          <w:color w:val="000000"/>
          <w:sz w:val="30"/>
          <w:szCs w:val="30"/>
        </w:rPr>
        <w:t>specific</w:t>
      </w:r>
      <w:r w:rsidRPr="00F22657">
        <w:rPr>
          <w:rFonts w:ascii="LinLibertine" w:eastAsia="Times New Roman" w:hAnsi="LinLibertine" w:cs="Times New Roman"/>
          <w:color w:val="000000"/>
          <w:sz w:val="30"/>
          <w:szCs w:val="30"/>
        </w:rPr>
        <w:t> (e.g., individual examples, incidences, cases) to the general. In this way, the researcher develops a </w:t>
      </w:r>
      <w:r w:rsidRPr="00F22657">
        <w:rPr>
          <w:rFonts w:ascii="LinLibertine" w:eastAsia="Times New Roman" w:hAnsi="LinLibertine" w:cs="Times New Roman"/>
          <w:i/>
          <w:iCs/>
          <w:color w:val="000000"/>
          <w:sz w:val="30"/>
          <w:szCs w:val="30"/>
        </w:rPr>
        <w:t>theory</w:t>
      </w:r>
      <w:r w:rsidRPr="00F22657">
        <w:rPr>
          <w:rFonts w:ascii="LinLibertine" w:eastAsia="Times New Roman" w:hAnsi="LinLibertine" w:cs="Times New Roman"/>
          <w:color w:val="000000"/>
          <w:sz w:val="30"/>
          <w:szCs w:val="30"/>
        </w:rPr>
        <w:t> that is applicable (explains, predicts, or does both) to more than the individual example, incidence, or case. The purpose of the theoretical coding stage is to identify the relationships between categories and their properties as they are found in the data. The process occurs in the following six stages (Miller and Fredericks 1999):</w:t>
      </w:r>
    </w:p>
    <w:p w14:paraId="24C922C5"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Preliminary (open) categories are formed from the first data collected.</w:t>
      </w:r>
    </w:p>
    <w:p w14:paraId="534795D0"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lastRenderedPageBreak/>
        <w:t>More general or broad categories that include preliminary groupings are formed from this and new data as they are added to the analysis.</w:t>
      </w:r>
    </w:p>
    <w:p w14:paraId="7C4B39E1"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Categories are further refined and defined.</w:t>
      </w:r>
    </w:p>
    <w:p w14:paraId="6CF86D76"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 set of </w:t>
      </w:r>
      <w:r w:rsidRPr="00F22657">
        <w:rPr>
          <w:rFonts w:ascii="LinLibertine" w:eastAsia="Times New Roman" w:hAnsi="LinLibertine" w:cs="Times New Roman"/>
          <w:i/>
          <w:iCs/>
          <w:color w:val="000000"/>
          <w:sz w:val="30"/>
          <w:szCs w:val="30"/>
        </w:rPr>
        <w:t>core</w:t>
      </w:r>
      <w:r w:rsidRPr="00F22657">
        <w:rPr>
          <w:rFonts w:ascii="LinLibertine" w:eastAsia="Times New Roman" w:hAnsi="LinLibertine" w:cs="Times New Roman"/>
          <w:color w:val="000000"/>
          <w:sz w:val="30"/>
          <w:szCs w:val="30"/>
        </w:rPr>
        <w:t> categories is finally accepted.</w:t>
      </w:r>
    </w:p>
    <w:p w14:paraId="118C4A78"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As data are analyzed, they are assigned as characteristics or dimensions of these core categories.</w:t>
      </w:r>
    </w:p>
    <w:p w14:paraId="4E11A826" w14:textId="77777777" w:rsidR="0061791E" w:rsidRPr="00F22657" w:rsidRDefault="0061791E" w:rsidP="0061791E">
      <w:pPr>
        <w:numPr>
          <w:ilvl w:val="0"/>
          <w:numId w:val="4"/>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Continual comparison may produce a revised coding scheme, which, in turn, may require revisions to the characteristics/dimensions of the codes.</w:t>
      </w:r>
    </w:p>
    <w:p w14:paraId="166C8962"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Stage 7: Develop a Theory</w:t>
      </w:r>
    </w:p>
    <w:p w14:paraId="5CDF2454"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This is the culmination of all preceding activities in the process: Form a theory that is grounded in the data. Although it is last in this process model, theory development is not saved for last. Rather, at each stage in the process of grounded theory, the researcher prepares </w:t>
      </w:r>
      <w:r w:rsidRPr="00F22657">
        <w:rPr>
          <w:rFonts w:ascii="LinLibertine" w:eastAsia="Times New Roman" w:hAnsi="LinLibertine" w:cs="Times New Roman"/>
          <w:i/>
          <w:iCs/>
          <w:color w:val="000000"/>
          <w:sz w:val="30"/>
          <w:szCs w:val="30"/>
        </w:rPr>
        <w:t>theoretical memos</w:t>
      </w:r>
      <w:r w:rsidRPr="00F22657">
        <w:rPr>
          <w:rFonts w:ascii="LinLibertine" w:eastAsia="Times New Roman" w:hAnsi="LinLibertine" w:cs="Times New Roman"/>
          <w:color w:val="000000"/>
          <w:sz w:val="30"/>
          <w:szCs w:val="30"/>
        </w:rPr>
        <w:t> in which to record ideas, conclusions, propositions, and theoretical explanations of the phenomena under study. These memos summarize the researcher’s conclusions—recorded as they are being formed—and are the gist from which a </w:t>
      </w:r>
      <w:r w:rsidRPr="00F22657">
        <w:rPr>
          <w:rFonts w:ascii="LinLibertine" w:eastAsia="Times New Roman" w:hAnsi="LinLibertine" w:cs="Times New Roman"/>
          <w:i/>
          <w:iCs/>
          <w:color w:val="000000"/>
          <w:sz w:val="30"/>
          <w:szCs w:val="30"/>
        </w:rPr>
        <w:t>theory</w:t>
      </w:r>
      <w:r w:rsidRPr="00F22657">
        <w:rPr>
          <w:rFonts w:ascii="LinLibertine" w:eastAsia="Times New Roman" w:hAnsi="LinLibertine" w:cs="Times New Roman"/>
          <w:color w:val="000000"/>
          <w:sz w:val="30"/>
          <w:szCs w:val="30"/>
        </w:rPr>
        <w:t> or set of hypotheses is developed.</w:t>
      </w:r>
    </w:p>
    <w:p w14:paraId="77819F67"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To qualify as a </w:t>
      </w:r>
      <w:r w:rsidRPr="00F22657">
        <w:rPr>
          <w:rFonts w:ascii="LinLibertine" w:eastAsia="Times New Roman" w:hAnsi="LinLibertine" w:cs="Times New Roman"/>
          <w:i/>
          <w:iCs/>
          <w:color w:val="000000"/>
          <w:sz w:val="30"/>
          <w:szCs w:val="30"/>
        </w:rPr>
        <w:t>grounded theory</w:t>
      </w:r>
      <w:r w:rsidRPr="00F22657">
        <w:rPr>
          <w:rFonts w:ascii="LinLibertine" w:eastAsia="Times New Roman" w:hAnsi="LinLibertine" w:cs="Times New Roman"/>
          <w:color w:val="000000"/>
          <w:sz w:val="30"/>
          <w:szCs w:val="30"/>
        </w:rPr>
        <w:t>, it must exhibit these key characteristics (Locke 1996):</w:t>
      </w:r>
    </w:p>
    <w:p w14:paraId="42CD1A0B" w14:textId="77777777" w:rsidR="0061791E" w:rsidRPr="00F22657" w:rsidRDefault="0061791E" w:rsidP="0061791E">
      <w:pPr>
        <w:numPr>
          <w:ilvl w:val="0"/>
          <w:numId w:val="5"/>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theory must closely fit the topic and disciplinary area studied.</w:t>
      </w:r>
    </w:p>
    <w:p w14:paraId="516CF9ED" w14:textId="77777777" w:rsidR="0061791E" w:rsidRPr="00F22657" w:rsidRDefault="0061791E" w:rsidP="0061791E">
      <w:pPr>
        <w:numPr>
          <w:ilvl w:val="0"/>
          <w:numId w:val="5"/>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theory must be understandable and useful to the actors in the studied situation.</w:t>
      </w:r>
    </w:p>
    <w:p w14:paraId="5CBCE272" w14:textId="77777777" w:rsidR="0061791E" w:rsidRPr="00F22657" w:rsidRDefault="0061791E" w:rsidP="0061791E">
      <w:pPr>
        <w:numPr>
          <w:ilvl w:val="0"/>
          <w:numId w:val="5"/>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theory must be complex enough to account for a large portion, if not most, of the variation in the area studied.</w:t>
      </w:r>
    </w:p>
    <w:p w14:paraId="55481817"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Oftentimes grounded theory researchers neglect to address the issue of theory in the presentation of their findings. However, this does not take anything away from the process, because when describing what was discovered from the research and in the specific recommendations, some </w:t>
      </w:r>
      <w:r w:rsidRPr="00F22657">
        <w:rPr>
          <w:rFonts w:ascii="LinLibertine" w:eastAsia="Times New Roman" w:hAnsi="LinLibertine" w:cs="Times New Roman"/>
          <w:i/>
          <w:iCs/>
          <w:color w:val="000000"/>
          <w:sz w:val="30"/>
          <w:szCs w:val="30"/>
        </w:rPr>
        <w:t>derived theory</w:t>
      </w:r>
      <w:r w:rsidRPr="00F22657">
        <w:rPr>
          <w:rFonts w:ascii="LinLibertine" w:eastAsia="Times New Roman" w:hAnsi="LinLibertine" w:cs="Times New Roman"/>
          <w:color w:val="000000"/>
          <w:sz w:val="30"/>
          <w:szCs w:val="30"/>
        </w:rPr>
        <w:t> must underlie the conclusions. It is just a matter of putting it into words. The researcher would not have the confidence necessary to make recommendations regarding the findings unless he or she was sufficiently confident in the theoretical conclusions derived from the data.</w:t>
      </w:r>
    </w:p>
    <w:p w14:paraId="49D0FAAE"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lastRenderedPageBreak/>
        <w:t>A Not-So-Subtle Reminder</w:t>
      </w:r>
    </w:p>
    <w:p w14:paraId="712DB442"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One of the reasons that Strauss and Corbin (1997) proposed their six preconceived categories for the second-level or axial coding step was that their graduate students were having great difficulty in conceptualizing the necessary categories for collected data. Lee (1999, 50) also commented on the difficulty of the method:</w:t>
      </w:r>
    </w:p>
    <w:p w14:paraId="01693A06" w14:textId="77777777" w:rsidR="0061791E" w:rsidRPr="00F22657" w:rsidRDefault="0061791E" w:rsidP="0061791E">
      <w:pPr>
        <w:spacing w:line="351" w:lineRule="atLeast"/>
        <w:jc w:val="both"/>
        <w:rPr>
          <w:rFonts w:ascii="LinLibertine" w:eastAsia="Times New Roman" w:hAnsi="LinLibertine" w:cs="Times New Roman"/>
          <w:color w:val="000000"/>
          <w:sz w:val="27"/>
          <w:szCs w:val="27"/>
        </w:rPr>
      </w:pPr>
      <w:r w:rsidRPr="00F22657">
        <w:rPr>
          <w:rFonts w:ascii="LinLibertine" w:eastAsia="Times New Roman" w:hAnsi="LinLibertine" w:cs="Times New Roman"/>
          <w:color w:val="000000"/>
          <w:sz w:val="27"/>
          <w:szCs w:val="27"/>
        </w:rPr>
        <w:t>Grounded theory is a long-term, labor-intensive, and time-consuming process. It requires multiple waves of data collection, with each wave of data based on theoretical sampling. In addition, the iterative process should continue until a theoretical saturation is achieved. Given all this, researchers should avoid grounded theory approaches unless they can commit substantial resources to a study.</w:t>
      </w:r>
    </w:p>
    <w:p w14:paraId="3CE396FA"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1" w:anchor="R_15031-1034_h1_ch023_004" w:history="1">
        <w:r w:rsidRPr="00F22657">
          <w:rPr>
            <w:rFonts w:ascii="LinLibertine" w:eastAsia="Times New Roman" w:hAnsi="LinLibertine" w:cs="Times New Roman"/>
            <w:b/>
            <w:bCs/>
            <w:color w:val="0000FF"/>
            <w:sz w:val="45"/>
            <w:szCs w:val="45"/>
            <w:u w:val="single"/>
          </w:rPr>
          <w:t>Grounded Theory Research in Practice</w:t>
        </w:r>
      </w:hyperlink>
    </w:p>
    <w:p w14:paraId="0223C167"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King, Felty, and Susel (1998) used grounded theory methodology in their study of the underlying causes of public antipathy in the political process and ways to improve participation in public administration policy-making decisions. Using personal interviews and focus group discussions, they gathered data from private citizens and public administrators from several communities in Ohio. Focus-group participants were asked to respond freely to four broad questions: (1) How can more effective public participation be achieved? (2) What does public participation mean to the participant? (3) What are the barriers to participation? and (4) What advice did they have for people trying to bring about more—and more diverse—participation?</w:t>
      </w:r>
    </w:p>
    <w:p w14:paraId="30BF3D6C"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analysis occurred in two stages. First, in the open stage of their coding, the transcribed interviews were coded by each researcher working independently and using a qualitative form of content analysis. Second, the researchers synthesized the individually coded responses to come up with a set of categories and themes. These were discussed in detail in their report. Specific quotations from respondents were woven throughout their final narrative, thus providing insightful reinforcement of the thematic concepts they drew from the data.</w:t>
      </w:r>
    </w:p>
    <w:p w14:paraId="33A42A22"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King, Felty, and Susel identified three categories of barriers to effective public participation, including contemporary lifestyles, existing administrative practices, and current techniques for participation. The pressures and complexity of daily life, together </w:t>
      </w:r>
      <w:r w:rsidRPr="00F22657">
        <w:rPr>
          <w:rFonts w:ascii="LinLibertine" w:eastAsia="Times New Roman" w:hAnsi="LinLibertine" w:cs="Times New Roman"/>
          <w:color w:val="000000"/>
          <w:sz w:val="30"/>
          <w:szCs w:val="30"/>
        </w:rPr>
        <w:lastRenderedPageBreak/>
        <w:t>with certain demographic factors such as class, income, education, and family size, and a breakdown in traditional neighborhood ties were identified as probable causes for the lack of public participation in the communities studied. Existing administrative practices, such as abbreviated time allowed for public contribution, waiting too long to call for public input in the policy development process, and some administrators’ perception of participation as a threat also hindered the amount and quality of participation. Finally, there was widespread agreement that current techniques used to gain public participation—such as the public meeting—were inadequate and, often, entirely ineffective.</w:t>
      </w:r>
    </w:p>
    <w:p w14:paraId="3BF13949"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theory generated from this research included a three-part proposal for dealing with the three sets of barriers to participation. First, citizens within the community must be empowered and, at the same time, educated in ways to organize and research issues and policies. Second, public administrators must be reeducated; their traditional role of “expert manager” must be replaced with one of “cooperative participant” or “partner.” Administrators must also develop their interpersonal skills, including listening, team building, and the like. Finally, the structures and processes of administration must be changed to make it easier for the public to become involved and contribute to the policy formation process.</w:t>
      </w:r>
    </w:p>
    <w:p w14:paraId="302F84AE"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New and Varied Applications</w:t>
      </w:r>
    </w:p>
    <w:p w14:paraId="2A01D4EA"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Strauss and Corbin, seeking to synthesize advances and alterations in their original concepts, edited a volume of research studies—</w:t>
      </w:r>
      <w:r w:rsidRPr="00F22657">
        <w:rPr>
          <w:rFonts w:ascii="LinLibertine" w:eastAsia="Times New Roman" w:hAnsi="LinLibertine" w:cs="Times New Roman"/>
          <w:i/>
          <w:iCs/>
          <w:color w:val="000000"/>
          <w:sz w:val="30"/>
          <w:szCs w:val="30"/>
        </w:rPr>
        <w:t>Grounded Theory in Practice</w:t>
      </w:r>
      <w:r w:rsidRPr="00F22657">
        <w:rPr>
          <w:rFonts w:ascii="LinLibertine" w:eastAsia="Times New Roman" w:hAnsi="LinLibertine" w:cs="Times New Roman"/>
          <w:color w:val="000000"/>
          <w:sz w:val="30"/>
          <w:szCs w:val="30"/>
        </w:rPr>
        <w:t> (1997)—that included applications of the grounded theory approach to research in the fields of health, sociology, business and public administration, and social psychology. A similar synthesis was produced by Polish sociologist Konecki the same year. His 1997 study of employment recruiting processes was done while he was enrolled in Anselm Strauss’s grounded theory seminar at the University of California. Konecki (1997) conducted a series of twenty intensive interviews with company recruiters, one with a client employment candidate, and one with a firm that used executive search firms. He also included previously published case study descriptions of the search process.</w:t>
      </w:r>
    </w:p>
    <w:p w14:paraId="2351D659"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lastRenderedPageBreak/>
        <w:t>The Konecki (1997) study is noteworthy primarily for its clear, detailed description of his application of the Strauss and Corbin third-level axial coding of the collected data. He compared the data from different types and sizes of search firms and wrote a number of theoretical memos to himself about the collected material. He then developed a conceptual matrix, subjecting the open-coded ideas to Strauss and Corbin’s six established conditional categories of causal conditions, phenomena, context, intervening conditions, actions/strategies, and consequences.</w:t>
      </w:r>
    </w:p>
    <w:p w14:paraId="1598D6CC"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Konecki theorized that the effectiveness of an employment search process is affected by five conditions: internal search-work circumstances and organization, interactional, market, and cultural conditions. He closed with the conclusion that grounded theory methodology is “a very useful tool for the reconstruction of conditions and combinations of the conditions of a category” (1997, 143, 144).</w:t>
      </w:r>
    </w:p>
    <w:p w14:paraId="23750802"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Other papers in the Strauss and Corbin book of example applications have included studies on identity, physicians’ interpretations of patient pain, abused women’s self-definition, scientific knowledge about cancer, reproductive science, the evolution of medical technology, tuberculosis, and collective identity.</w:t>
      </w:r>
    </w:p>
    <w:p w14:paraId="5BC0FB88"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 record of the subtle changes that have occurred in grounded theory methods were chronicled by Antony Bryant in 2017. Bryant includes examples of the many applications of the method used by his Ph.D. students. Reflecting on the popularity approach, he argues that the grounded theory method should become one of the most widely adopted qualitative research methods. Applications of the approach are common in published papers, theses, and dissertations in which the critical research paradigm and its most popular methodology are seen in nearly any field of research in which people as participants are observed or interviewed for understanding human behavior.</w:t>
      </w:r>
    </w:p>
    <w:p w14:paraId="157E8333" w14:textId="77777777" w:rsidR="0061791E" w:rsidRPr="00F2265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F22657">
        <w:rPr>
          <w:rFonts w:ascii="LinLibertine" w:eastAsia="Times New Roman" w:hAnsi="LinLibertine" w:cs="Times New Roman"/>
          <w:b/>
          <w:bCs/>
          <w:color w:val="000000"/>
          <w:sz w:val="36"/>
          <w:szCs w:val="36"/>
        </w:rPr>
        <w:t>Grounded Theory in Public Policy Research</w:t>
      </w:r>
    </w:p>
    <w:p w14:paraId="317BF97F"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Cook and Barry (1995) used the grounded theory method to research the public policy interactions of managers and owners of small businesses. They chose the grounded theory method because of what they termed the “paucity of work” in the area and because of a desire to build a rich description of the business owners’ ideas and beliefs about public policy and their ability to help shape it. Over the two-year study, </w:t>
      </w:r>
      <w:r w:rsidRPr="00F22657">
        <w:rPr>
          <w:rFonts w:ascii="LinLibertine" w:eastAsia="Times New Roman" w:hAnsi="LinLibertine" w:cs="Times New Roman"/>
          <w:color w:val="000000"/>
          <w:sz w:val="30"/>
          <w:szCs w:val="30"/>
        </w:rPr>
        <w:lastRenderedPageBreak/>
        <w:t>Cook and Barry conducted thirty-one in-depth interviews with the owners of twenty-seven firms and with four government administrators. In addition to these in-depth interviews, Cook and Barry also attended nine trade association meetings with a government-relations focus; more than fifty additional executives participated in the meetings. Concluding their data-gathering process, they examined more than 150 public documents, papers, memos, and newspaper stories.</w:t>
      </w:r>
    </w:p>
    <w:p w14:paraId="7C1F38ED"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 what is clearly one of the major disadvantages of the method—an overabundance of raw data—Cook and Barry (1995) reported that their initial transcripts produced more than 700 pages of data. Before they could code and analyze the data, they were forced to produce detailed abstracts of each transcript, thus eliminating some 60 percent of the original data.</w:t>
      </w:r>
    </w:p>
    <w:p w14:paraId="54D7DA5A"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Two levels of coding were then used on the remaining data, “received” coding and “emergent” coding. The first level was derived from their review of the literature in the field, from their prior learning and biases, and from categories that the interviewees themselves used. These were primarily descriptive and definitional in nature. These codes were then merged into broader codes—called </w:t>
      </w:r>
      <w:r w:rsidRPr="00F22657">
        <w:rPr>
          <w:rFonts w:ascii="LinLibertine" w:eastAsia="Times New Roman" w:hAnsi="LinLibertine" w:cs="Times New Roman"/>
          <w:i/>
          <w:iCs/>
          <w:color w:val="000000"/>
          <w:sz w:val="30"/>
          <w:szCs w:val="30"/>
        </w:rPr>
        <w:t>overarching dimensions</w:t>
      </w:r>
      <w:r w:rsidRPr="00F22657">
        <w:rPr>
          <w:rFonts w:ascii="LinLibertine" w:eastAsia="Times New Roman" w:hAnsi="LinLibertine" w:cs="Times New Roman"/>
          <w:color w:val="000000"/>
          <w:sz w:val="30"/>
          <w:szCs w:val="30"/>
        </w:rPr>
        <w:t>—that related to issues, issue characteristics, and the influence process.</w:t>
      </w:r>
    </w:p>
    <w:p w14:paraId="77E08B1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 the sense of </w:t>
      </w:r>
      <w:r w:rsidRPr="00F22657">
        <w:rPr>
          <w:rFonts w:ascii="LinLibertine" w:eastAsia="Times New Roman" w:hAnsi="LinLibertine" w:cs="Times New Roman"/>
          <w:i/>
          <w:iCs/>
          <w:color w:val="000000"/>
          <w:sz w:val="30"/>
          <w:szCs w:val="30"/>
        </w:rPr>
        <w:t>theory</w:t>
      </w:r>
      <w:r w:rsidRPr="00F22657">
        <w:rPr>
          <w:rFonts w:ascii="LinLibertine" w:eastAsia="Times New Roman" w:hAnsi="LinLibertine" w:cs="Times New Roman"/>
          <w:color w:val="000000"/>
          <w:sz w:val="30"/>
          <w:szCs w:val="30"/>
        </w:rPr>
        <w:t>, Cook and Barry (1995) found it “evident” that interactions between owners of small firms and policy makers helped to create a system for interpreting and making sense of the process. These interactions determined (1) whether a small business executive would commit to working on a policy issue and (2) how he or she would carry out that work. Executives tended to agree to work on issues that they believed they had some possibility of influencing and to ignore policy questions that they felt were beyond their reach. An example of a grounded theory research design application is shown in </w:t>
      </w:r>
      <w:hyperlink r:id="rId22" w:anchor="_15031-1034_ch023_box002" w:history="1">
        <w:r w:rsidRPr="00F22657">
          <w:rPr>
            <w:rFonts w:ascii="LinLibertine" w:eastAsia="Times New Roman" w:hAnsi="LinLibertine" w:cs="Times New Roman"/>
            <w:color w:val="0000FF"/>
            <w:sz w:val="30"/>
            <w:szCs w:val="30"/>
            <w:u w:val="single"/>
          </w:rPr>
          <w:t>Box 23.2</w:t>
        </w:r>
      </w:hyperlink>
      <w:r w:rsidRPr="00F22657">
        <w:rPr>
          <w:rFonts w:ascii="LinLibertine" w:eastAsia="Times New Roman" w:hAnsi="LinLibertine" w:cs="Times New Roman"/>
          <w:color w:val="000000"/>
          <w:sz w:val="30"/>
          <w:szCs w:val="30"/>
        </w:rPr>
        <w:t>.</w:t>
      </w:r>
    </w:p>
    <w:p w14:paraId="7C447D0A" w14:textId="77777777" w:rsidR="0061791E" w:rsidRPr="00F22657" w:rsidRDefault="0061791E" w:rsidP="0061791E">
      <w:pPr>
        <w:spacing w:line="507" w:lineRule="atLeast"/>
        <w:jc w:val="center"/>
        <w:outlineLvl w:val="0"/>
        <w:rPr>
          <w:rFonts w:ascii="LinLibertine" w:eastAsia="Times New Roman" w:hAnsi="LinLibertine" w:cs="Times New Roman"/>
          <w:b/>
          <w:bCs/>
          <w:color w:val="000000"/>
          <w:kern w:val="36"/>
          <w:sz w:val="39"/>
          <w:szCs w:val="39"/>
        </w:rPr>
      </w:pPr>
      <w:hyperlink r:id="rId23" w:anchor="R_15031-1034_ch023_box002" w:history="1">
        <w:r w:rsidRPr="00F22657">
          <w:rPr>
            <w:rFonts w:ascii="LinLibertine" w:eastAsia="Times New Roman" w:hAnsi="LinLibertine" w:cs="Times New Roman"/>
            <w:color w:val="0000FF"/>
            <w:kern w:val="36"/>
            <w:sz w:val="35"/>
            <w:szCs w:val="35"/>
            <w:u w:val="single"/>
          </w:rPr>
          <w:t>Box 23.2</w:t>
        </w:r>
        <w:r w:rsidRPr="00F22657">
          <w:rPr>
            <w:rFonts w:ascii="LinLibertine" w:eastAsia="Times New Roman" w:hAnsi="LinLibertine" w:cs="Times New Roman"/>
            <w:b/>
            <w:bCs/>
            <w:color w:val="0000FF"/>
            <w:kern w:val="36"/>
            <w:sz w:val="39"/>
            <w:szCs w:val="39"/>
            <w:u w:val="single"/>
          </w:rPr>
          <w:br/>
          <w:t>The Growing Trend for Public and Nonprofit Partnerships</w:t>
        </w:r>
      </w:hyperlink>
    </w:p>
    <w:p w14:paraId="6A7DF5B8" w14:textId="77777777" w:rsidR="0061791E" w:rsidRPr="00F22657" w:rsidRDefault="0061791E" w:rsidP="0061791E">
      <w:pPr>
        <w:spacing w:befor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Grounded Theory was the approach used by University of Washington researcher Rachel Fyall to examine the risks and benefits associated with governments’ growing contracting with nonprofit organizations </w:t>
      </w:r>
      <w:r w:rsidRPr="00F22657">
        <w:rPr>
          <w:rFonts w:ascii="LinLibertine" w:eastAsia="Times New Roman" w:hAnsi="LinLibertine" w:cs="Times New Roman"/>
          <w:color w:val="000000"/>
          <w:sz w:val="30"/>
          <w:szCs w:val="30"/>
        </w:rPr>
        <w:lastRenderedPageBreak/>
        <w:t>for performing services traditionally done by government agencies. The study focused on service contracts for health and human services programs in three Pacific Northwest states. The objective of the approach was to draw general propositions from a review of the role and influence of nonprofits in the health-related context.</w:t>
      </w:r>
    </w:p>
    <w:p w14:paraId="7D48953E"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data were collected during thirty-three semistructured telephone interviews with nonprofit, public, and for-profit professionals in low-income housing on the west coast. Some additional data came from organizational websites, nonprofit 990 tax reports, and newspaper articles. Discussion guides provided structure during the data collection, although question focus and framing varied. Topics included (1) professional experience with housing policy, advocacy, and service delivery, (2) perceived effectiveness of policy actors, (3) influence of external factors, and (4) experiences with cross-sector advocacy or policy implementation.</w:t>
      </w:r>
    </w:p>
    <w:p w14:paraId="64925FF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Findings included a set of seven propositions related to the research problem that contributed to greater understanding of the risks and benefits of the contracting-out system, even while public managers look to their nonprofit partners to function as advocacy sources during public policy hearings. Additionally, the study was seen as contributing toward reconciliation of the perceived contradiction between the perceived weakness of publically funded nonprofits and their potential for policy influence. </w:t>
      </w:r>
      <w:r w:rsidRPr="00F22657">
        <w:rPr>
          <w:rFonts w:ascii="LinLibertine" w:eastAsia="Times New Roman" w:hAnsi="LinLibertine" w:cs="Times New Roman"/>
          <w:i/>
          <w:iCs/>
          <w:color w:val="000000"/>
          <w:sz w:val="30"/>
          <w:szCs w:val="30"/>
        </w:rPr>
        <w:t>Source:</w:t>
      </w:r>
      <w:r w:rsidRPr="00F22657">
        <w:rPr>
          <w:rFonts w:ascii="LinLibertine" w:eastAsia="Times New Roman" w:hAnsi="LinLibertine" w:cs="Times New Roman"/>
          <w:color w:val="000000"/>
          <w:sz w:val="30"/>
          <w:szCs w:val="30"/>
        </w:rPr>
        <w:t> Fyall 2016.</w:t>
      </w:r>
    </w:p>
    <w:p w14:paraId="5E7844B2"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4" w:anchor="R_15031-1034_h1_ch023_005" w:history="1">
        <w:r w:rsidRPr="00F22657">
          <w:rPr>
            <w:rFonts w:ascii="LinLibertine" w:eastAsia="Times New Roman" w:hAnsi="LinLibertine" w:cs="Times New Roman"/>
            <w:b/>
            <w:bCs/>
            <w:color w:val="0000FF"/>
            <w:sz w:val="45"/>
            <w:szCs w:val="45"/>
            <w:u w:val="single"/>
          </w:rPr>
          <w:t>Summary</w:t>
        </w:r>
      </w:hyperlink>
    </w:p>
    <w:p w14:paraId="46F042D2"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Grounded theory is a general qualitative research method that can be used on any data or combination of data having to do with humans. It was initially developed for use with quantitative and/or qualitative data. However, researchers have agreed that in most cases in which great understanding is sought, qualitative data are inexpensive to collect; they can be very rich in meaning and observation, and they are often rewarding to collect and analyze. So by defaulting to ease and growing use, grounded theory research today is linked to </w:t>
      </w:r>
      <w:r w:rsidRPr="00F22657">
        <w:rPr>
          <w:rFonts w:ascii="LinLibertine" w:eastAsia="Times New Roman" w:hAnsi="LinLibertine" w:cs="Times New Roman"/>
          <w:i/>
          <w:iCs/>
          <w:color w:val="000000"/>
          <w:sz w:val="30"/>
          <w:szCs w:val="30"/>
        </w:rPr>
        <w:t>qualitative</w:t>
      </w:r>
      <w:r w:rsidRPr="00F22657">
        <w:rPr>
          <w:rFonts w:ascii="LinLibertine" w:eastAsia="Times New Roman" w:hAnsi="LinLibertine" w:cs="Times New Roman"/>
          <w:color w:val="000000"/>
          <w:sz w:val="30"/>
          <w:szCs w:val="30"/>
        </w:rPr>
        <w:t> data; it is classified as a qualitative method that uses symbolic interaction.</w:t>
      </w:r>
    </w:p>
    <w:p w14:paraId="0A404A2F"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The grounded theory research process begins with focusing on some area of study—a phenomenon, circumstance, trend, or behavior, among others, in any of the social or administrative science areas. Using </w:t>
      </w:r>
      <w:r w:rsidRPr="00F22657">
        <w:rPr>
          <w:rFonts w:ascii="LinLibertine" w:eastAsia="Times New Roman" w:hAnsi="LinLibertine" w:cs="Times New Roman"/>
          <w:color w:val="000000"/>
          <w:sz w:val="30"/>
          <w:szCs w:val="30"/>
        </w:rPr>
        <w:lastRenderedPageBreak/>
        <w:t>observation and interviewing, among other methods, researchers gather relevant data from as many different available sources as possible. Analysis of the data begins with grouping them into categories and assigning codes. Through a process of continually comparing data with other categories, theory may be generated.</w:t>
      </w:r>
    </w:p>
    <w:p w14:paraId="5F6AA305"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Completion of a grounded theory research project results in the researcher identifying one or more core concepts that relate to the issue of interest, example or </w:t>
      </w:r>
      <w:r w:rsidRPr="00F22657">
        <w:rPr>
          <w:rFonts w:ascii="LinLibertine" w:eastAsia="Times New Roman" w:hAnsi="LinLibertine" w:cs="Times New Roman"/>
          <w:i/>
          <w:iCs/>
          <w:color w:val="000000"/>
          <w:sz w:val="30"/>
          <w:szCs w:val="30"/>
        </w:rPr>
        <w:t>empirical</w:t>
      </w:r>
      <w:r w:rsidRPr="00F22657">
        <w:rPr>
          <w:rFonts w:ascii="LinLibertine" w:eastAsia="Times New Roman" w:hAnsi="LinLibertine" w:cs="Times New Roman"/>
          <w:color w:val="000000"/>
          <w:sz w:val="30"/>
          <w:szCs w:val="30"/>
        </w:rPr>
        <w:t>, examples in the data that are representative of each core concept, and an indication of a set of relationships between the core concepts and their example indicators. These relationships may be illustrated in what are called </w:t>
      </w:r>
      <w:r w:rsidRPr="00F22657">
        <w:rPr>
          <w:rFonts w:ascii="LinLibertine" w:eastAsia="Times New Roman" w:hAnsi="LinLibertine" w:cs="Times New Roman"/>
          <w:i/>
          <w:iCs/>
          <w:color w:val="000000"/>
          <w:sz w:val="30"/>
          <w:szCs w:val="30"/>
        </w:rPr>
        <w:t>concept maps</w:t>
      </w:r>
      <w:r w:rsidRPr="00F22657">
        <w:rPr>
          <w:rFonts w:ascii="LinLibertine" w:eastAsia="Times New Roman" w:hAnsi="LinLibertine" w:cs="Times New Roman"/>
          <w:color w:val="000000"/>
          <w:sz w:val="30"/>
          <w:szCs w:val="30"/>
        </w:rPr>
        <w:t>, which are graphic depictions of each concept category and their characteristics or indicators. The conceptual depiction also shows how and in what direction larger categories are influenced by or related to (1) each other, (2) lower- to upper- or broader-level concepts, and (3) higher level to lower level.</w:t>
      </w:r>
    </w:p>
    <w:p w14:paraId="18FCEEA1"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However, it is important to remember that grounded theory is a long-term, laborious, and time-consuming process. The researcher should have a substantial grounding in the area of interest, as well as the ability to formulate a broad, meaningful conceptual interest area. This does not mean that a “study problem” must be identified in advance but rather that the researcher be conversant enough with a phenomenon to justify an open research project in the area. Furthermore, grounded theory research requires multiple levels of data collection, each based on theoretical sampling and continual comparisons. In addition, the coding and classifying process should continue until a theoretical saturation is achieved. Researchers are advised to avoid grounded theory approaches unless they can commit substantial resources to a study.</w:t>
      </w:r>
    </w:p>
    <w:p w14:paraId="3A5B5AF9"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5" w:anchor="R_15031-1034_h1_ch023_006" w:history="1">
        <w:r w:rsidRPr="00F22657">
          <w:rPr>
            <w:rFonts w:ascii="LinLibertine" w:eastAsia="Times New Roman" w:hAnsi="LinLibertine" w:cs="Times New Roman"/>
            <w:b/>
            <w:bCs/>
            <w:color w:val="0000FF"/>
            <w:sz w:val="45"/>
            <w:szCs w:val="45"/>
            <w:u w:val="single"/>
          </w:rPr>
          <w:t>Key Terms</w:t>
        </w:r>
      </w:hyperlink>
    </w:p>
    <w:p w14:paraId="5DBDDD0B"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Actions/strategies code category</w:t>
      </w:r>
    </w:p>
    <w:p w14:paraId="57D5DFFD"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Axial coding</w:t>
      </w:r>
    </w:p>
    <w:p w14:paraId="42FEC374"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Causal conditions code category</w:t>
      </w:r>
    </w:p>
    <w:p w14:paraId="429D0B1D"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Concept maps</w:t>
      </w:r>
    </w:p>
    <w:p w14:paraId="1DC02670"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Consequences code category</w:t>
      </w:r>
    </w:p>
    <w:p w14:paraId="6F8F546D"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Context code category</w:t>
      </w:r>
    </w:p>
    <w:p w14:paraId="68A6CD36"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Generating theory</w:t>
      </w:r>
    </w:p>
    <w:p w14:paraId="621B74F2"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lastRenderedPageBreak/>
        <w:t>Glaserian grounded theory</w:t>
      </w:r>
    </w:p>
    <w:p w14:paraId="52624A12"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Intervening conditions code category</w:t>
      </w:r>
    </w:p>
    <w:p w14:paraId="1FC06C6F"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Microanalysis</w:t>
      </w:r>
    </w:p>
    <w:p w14:paraId="340C9446"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Open coding</w:t>
      </w:r>
    </w:p>
    <w:p w14:paraId="61A112E0"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Overarching dimension</w:t>
      </w:r>
    </w:p>
    <w:p w14:paraId="7B5E0638"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Phenomena code category</w:t>
      </w:r>
    </w:p>
    <w:p w14:paraId="6121934B"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Straussian grounded theory</w:t>
      </w:r>
    </w:p>
    <w:p w14:paraId="601C9550"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Symbolic interactionism</w:t>
      </w:r>
    </w:p>
    <w:p w14:paraId="4398FB93"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Theoretical coding</w:t>
      </w:r>
    </w:p>
    <w:p w14:paraId="5EF80440" w14:textId="77777777" w:rsidR="0061791E" w:rsidRPr="00F22657" w:rsidRDefault="0061791E" w:rsidP="0061791E">
      <w:pPr>
        <w:numPr>
          <w:ilvl w:val="0"/>
          <w:numId w:val="6"/>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Theoretical sampling problem</w:t>
      </w:r>
    </w:p>
    <w:p w14:paraId="6BC800E3"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6" w:anchor="R_15031-1034_h1_ch023_007" w:history="1">
        <w:r w:rsidRPr="00F22657">
          <w:rPr>
            <w:rFonts w:ascii="LinLibertine" w:eastAsia="Times New Roman" w:hAnsi="LinLibertine" w:cs="Times New Roman"/>
            <w:b/>
            <w:bCs/>
            <w:color w:val="0000FF"/>
            <w:sz w:val="45"/>
            <w:szCs w:val="45"/>
            <w:u w:val="single"/>
          </w:rPr>
          <w:t>Discussion Questions</w:t>
        </w:r>
      </w:hyperlink>
    </w:p>
    <w:p w14:paraId="72D6E50B"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 your own words, how would you define the grounded theory process?</w:t>
      </w:r>
    </w:p>
    <w:p w14:paraId="391DDC72"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Is the grounded theory method an appropriate research method for use in public administration? Why or why not?</w:t>
      </w:r>
    </w:p>
    <w:p w14:paraId="499EC839"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How would you go about conducting field research for data necessary to accomplish a grounded theory research project?</w:t>
      </w:r>
    </w:p>
    <w:p w14:paraId="6B73FF22"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Do you feel that the axial coding paradigm using the six categories discussed in the text would be an asset in arriving at conceptual understanding of the data in a grounded theory study? Why or why not?</w:t>
      </w:r>
    </w:p>
    <w:p w14:paraId="5C0F9FAE"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Do you feel writing conceptual memos to yourself as you code and categorize data would help you develop a theoretical understanding of a phenomenon such as teenage drug addiction?</w:t>
      </w:r>
    </w:p>
    <w:p w14:paraId="5E6DB871" w14:textId="77777777" w:rsidR="0061791E" w:rsidRPr="00F22657" w:rsidRDefault="0061791E" w:rsidP="0061791E">
      <w:pPr>
        <w:numPr>
          <w:ilvl w:val="0"/>
          <w:numId w:val="7"/>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Describe the core categories of grounded theory.</w:t>
      </w:r>
    </w:p>
    <w:p w14:paraId="3249A5E9"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7" w:anchor="R_15031-1034_case_ch023_001" w:history="1">
        <w:r w:rsidRPr="00F22657">
          <w:rPr>
            <w:rFonts w:ascii="LinLibertine" w:eastAsia="Times New Roman" w:hAnsi="LinLibertine" w:cs="Times New Roman"/>
            <w:b/>
            <w:bCs/>
            <w:color w:val="0000FF"/>
            <w:sz w:val="45"/>
            <w:szCs w:val="45"/>
            <w:u w:val="single"/>
          </w:rPr>
          <w:t>Case Studies</w:t>
        </w:r>
      </w:hyperlink>
    </w:p>
    <w:p w14:paraId="4E6EB3D6" w14:textId="77777777" w:rsidR="0061791E" w:rsidRPr="00F22657" w:rsidRDefault="0061791E" w:rsidP="0061791E">
      <w:pPr>
        <w:spacing w:before="240" w:after="240" w:line="488" w:lineRule="atLeast"/>
        <w:outlineLvl w:val="1"/>
        <w:rPr>
          <w:rFonts w:ascii="LinLibertine" w:eastAsia="Times New Roman" w:hAnsi="LinLibertine" w:cs="Times New Roman"/>
          <w:b/>
          <w:bCs/>
          <w:color w:val="000000"/>
          <w:sz w:val="38"/>
          <w:szCs w:val="38"/>
        </w:rPr>
      </w:pPr>
      <w:r w:rsidRPr="00F22657">
        <w:rPr>
          <w:rFonts w:ascii="LinLibertine" w:eastAsia="Times New Roman" w:hAnsi="LinLibertine" w:cs="Times New Roman"/>
          <w:b/>
          <w:bCs/>
          <w:color w:val="000000"/>
          <w:sz w:val="38"/>
          <w:szCs w:val="38"/>
        </w:rPr>
        <w:t>Case 23.1. Technology and Mutual Trust</w:t>
      </w:r>
    </w:p>
    <w:p w14:paraId="07F5EA91"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Your agency has been given the task of determining how </w:t>
      </w:r>
      <w:r w:rsidRPr="00F22657">
        <w:rPr>
          <w:rFonts w:ascii="LinLibertine" w:eastAsia="Times New Roman" w:hAnsi="LinLibertine" w:cs="Times New Roman"/>
          <w:i/>
          <w:iCs/>
          <w:color w:val="000000"/>
          <w:sz w:val="30"/>
          <w:szCs w:val="30"/>
        </w:rPr>
        <w:t>information technology</w:t>
      </w:r>
      <w:r w:rsidRPr="00F22657">
        <w:rPr>
          <w:rFonts w:ascii="LinLibertine" w:eastAsia="Times New Roman" w:hAnsi="LinLibertine" w:cs="Times New Roman"/>
          <w:color w:val="000000"/>
          <w:sz w:val="30"/>
          <w:szCs w:val="30"/>
        </w:rPr>
        <w:t xml:space="preserve"> can be used to improve interagency (interorganizational) learning across state government. As you and your staff plan a research study, two of the questions that come to your mind are: (1) Does information technology’s contribution to learning differ among lower and higher levels of management? and (2) Does the traditional turf-protection nature of bureaucratic organizations preclude the </w:t>
      </w:r>
      <w:r w:rsidRPr="00F22657">
        <w:rPr>
          <w:rFonts w:ascii="LinLibertine" w:eastAsia="Times New Roman" w:hAnsi="LinLibertine" w:cs="Times New Roman"/>
          <w:color w:val="000000"/>
          <w:sz w:val="30"/>
          <w:szCs w:val="30"/>
        </w:rPr>
        <w:lastRenderedPageBreak/>
        <w:t>development of trust that is essential for interagency learning to occur? When mutual trust is present, cooperating agencies are more likely to remain open and willing to share information and knowledge over time and are less likely to worry about how much, if any, information leaks to other agencies, the press, and the public.</w:t>
      </w:r>
    </w:p>
    <w:p w14:paraId="00347DA5"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In discussions with your supervisor, you agree that the primary unit of analysis for the proposed study is the collection of agencies/departments that operate in your state. Smaller units in the study are the individual agencies themselves. Examples of embedded units in the state government are the Department of Corrections, the Department of Social and Health Services, and the Department of Natural Resources. Selecting sites for data collection depends on your ability to identify representative examples within the larger context of the entire state government.</w:t>
      </w:r>
    </w:p>
    <w:p w14:paraId="78C4C28F"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From your background in information technology and what you have read about the topic in professional journals, you and your team come up with four objectives for your study. These are:</w:t>
      </w:r>
    </w:p>
    <w:p w14:paraId="2F68DAD1" w14:textId="77777777" w:rsidR="0061791E" w:rsidRPr="00F22657" w:rsidRDefault="0061791E" w:rsidP="0061791E">
      <w:pPr>
        <w:numPr>
          <w:ilvl w:val="0"/>
          <w:numId w:val="8"/>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Find out as much as you can about the phenomenon of interorganizational learning</w:t>
      </w:r>
    </w:p>
    <w:p w14:paraId="649F5752" w14:textId="77777777" w:rsidR="0061791E" w:rsidRPr="00F22657" w:rsidRDefault="0061791E" w:rsidP="0061791E">
      <w:pPr>
        <w:numPr>
          <w:ilvl w:val="0"/>
          <w:numId w:val="8"/>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Explain how and why information technology facilitates interagency learning</w:t>
      </w:r>
    </w:p>
    <w:p w14:paraId="4FE5C4FF" w14:textId="77777777" w:rsidR="0061791E" w:rsidRPr="00F22657" w:rsidRDefault="0061791E" w:rsidP="0061791E">
      <w:pPr>
        <w:numPr>
          <w:ilvl w:val="0"/>
          <w:numId w:val="8"/>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Develop a rich, descriptive narrative that describes interagency developments, trends, and successes</w:t>
      </w:r>
    </w:p>
    <w:p w14:paraId="3CC34D2B" w14:textId="77777777" w:rsidR="0061791E" w:rsidRPr="00F22657" w:rsidRDefault="0061791E" w:rsidP="0061791E">
      <w:pPr>
        <w:numPr>
          <w:ilvl w:val="0"/>
          <w:numId w:val="8"/>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Produce an empirically based theory of information technology’s ability to enhance interagency learning and trust</w:t>
      </w:r>
    </w:p>
    <w:p w14:paraId="2B743EFE"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i/>
          <w:iCs/>
          <w:color w:val="000000"/>
          <w:sz w:val="30"/>
          <w:szCs w:val="30"/>
        </w:rPr>
        <w:t>Source:</w:t>
      </w:r>
      <w:r w:rsidRPr="00F22657">
        <w:rPr>
          <w:rFonts w:ascii="LinLibertine" w:eastAsia="Times New Roman" w:hAnsi="LinLibertine" w:cs="Times New Roman"/>
          <w:color w:val="000000"/>
          <w:sz w:val="30"/>
          <w:szCs w:val="30"/>
        </w:rPr>
        <w:t> This case is based on a paper by Judy E. Scott, “Facilitating Interorganizational Learning with Information Technology,” </w:t>
      </w:r>
      <w:r w:rsidRPr="00F22657">
        <w:rPr>
          <w:rFonts w:ascii="LinLibertine" w:eastAsia="Times New Roman" w:hAnsi="LinLibertine" w:cs="Times New Roman"/>
          <w:i/>
          <w:iCs/>
          <w:color w:val="000000"/>
          <w:sz w:val="30"/>
          <w:szCs w:val="30"/>
        </w:rPr>
        <w:t>Journal of Management Information Systems</w:t>
      </w:r>
      <w:r w:rsidRPr="00F22657">
        <w:rPr>
          <w:rFonts w:ascii="LinLibertine" w:eastAsia="Times New Roman" w:hAnsi="LinLibertine" w:cs="Times New Roman"/>
          <w:color w:val="000000"/>
          <w:sz w:val="30"/>
          <w:szCs w:val="30"/>
        </w:rPr>
        <w:t>, 17(2) (2000): 81–114.</w:t>
      </w:r>
    </w:p>
    <w:p w14:paraId="25A15DFB"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Questions</w:t>
      </w:r>
    </w:p>
    <w:p w14:paraId="3A9F3981" w14:textId="77777777" w:rsidR="0061791E" w:rsidRPr="00F22657" w:rsidRDefault="0061791E" w:rsidP="0061791E">
      <w:pPr>
        <w:numPr>
          <w:ilvl w:val="0"/>
          <w:numId w:val="9"/>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Is the grounded theory method appropriate for conducting this research study? Explain why or why not.</w:t>
      </w:r>
    </w:p>
    <w:p w14:paraId="096DE31B" w14:textId="77777777" w:rsidR="0061791E" w:rsidRPr="00F22657" w:rsidRDefault="0061791E" w:rsidP="0061791E">
      <w:pPr>
        <w:numPr>
          <w:ilvl w:val="0"/>
          <w:numId w:val="9"/>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Explain how you would collect data to accomplish the four research objectives.</w:t>
      </w:r>
    </w:p>
    <w:p w14:paraId="57AE4319" w14:textId="77777777" w:rsidR="0061791E" w:rsidRPr="00F22657" w:rsidRDefault="0061791E" w:rsidP="0061791E">
      <w:pPr>
        <w:numPr>
          <w:ilvl w:val="0"/>
          <w:numId w:val="9"/>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Briefly name several potential broad conceptual factors or categories that you might use to organize your collected data.</w:t>
      </w:r>
    </w:p>
    <w:p w14:paraId="5350EA13" w14:textId="77777777" w:rsidR="0061791E" w:rsidRPr="00F22657" w:rsidRDefault="0061791E" w:rsidP="0061791E">
      <w:pPr>
        <w:spacing w:before="240" w:after="240" w:line="488" w:lineRule="atLeast"/>
        <w:outlineLvl w:val="1"/>
        <w:rPr>
          <w:rFonts w:ascii="LinLibertine" w:eastAsia="Times New Roman" w:hAnsi="LinLibertine" w:cs="Times New Roman"/>
          <w:b/>
          <w:bCs/>
          <w:color w:val="000000"/>
          <w:sz w:val="38"/>
          <w:szCs w:val="38"/>
        </w:rPr>
      </w:pPr>
      <w:r w:rsidRPr="00F22657">
        <w:rPr>
          <w:rFonts w:ascii="LinLibertine" w:eastAsia="Times New Roman" w:hAnsi="LinLibertine" w:cs="Times New Roman"/>
          <w:b/>
          <w:bCs/>
          <w:color w:val="000000"/>
          <w:sz w:val="38"/>
          <w:szCs w:val="38"/>
        </w:rPr>
        <w:lastRenderedPageBreak/>
        <w:t>Case 23.2. Global Education in Secondary Schools</w:t>
      </w:r>
    </w:p>
    <w:p w14:paraId="6230CC7E"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You are a student in your university’s master’s degree in public administration program. You are asked to work with a team of three other students in the program to design and conduct a research study dealing with a consortium of eleven public schools that intend to introduce global education into their curricula.</w:t>
      </w:r>
    </w:p>
    <w:p w14:paraId="0521E5B4"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According to the National Council for the Social Studies (NCSS 2012), the purpose of global education is to help students develop the knowledge, skills, and attitudes needed to live in a world of limited natural resources and wide ethnic diversity, cultural pluralism, and growing interdependence of nations and people.</w:t>
      </w:r>
    </w:p>
    <w:p w14:paraId="0075DB6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The university’s School of Education has received a grant to fund a project that will involve working with and studying elementary and secondary school teachers. The objective of the grant is to improve education by widening the vision of teachers and students through instruction in global education. The objective of your study is to develop theory on the factors that influence the spread of global perspectives and actions in educational institutions. Specifically, to facilitate infusion of global thinking and acting, your team needs to understand how successful teachers go about adopting global thinking, introducing global educational materials and methods, and, in the broadest sense, functioning as change agents in their schools.</w:t>
      </w:r>
    </w:p>
    <w:p w14:paraId="446E8397" w14:textId="77777777" w:rsidR="0061791E" w:rsidRPr="00F22657" w:rsidRDefault="0061791E" w:rsidP="0061791E">
      <w:pPr>
        <w:numPr>
          <w:ilvl w:val="0"/>
          <w:numId w:val="10"/>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i/>
          <w:iCs/>
          <w:color w:val="000000"/>
          <w:sz w:val="30"/>
          <w:szCs w:val="30"/>
        </w:rPr>
        <w:t>Source:</w:t>
      </w:r>
      <w:r w:rsidRPr="00F22657">
        <w:rPr>
          <w:rFonts w:ascii="LinLibertine" w:eastAsia="Times New Roman" w:hAnsi="LinLibertine" w:cs="Times New Roman"/>
          <w:color w:val="000000"/>
          <w:sz w:val="30"/>
          <w:szCs w:val="30"/>
        </w:rPr>
        <w:t> This case is loosely based on an article by Roberta Lessor, “Using the Team Approach of Anselm Strauss in Action Research: Consulting on a Project in Global Education,” </w:t>
      </w:r>
      <w:r w:rsidRPr="00F22657">
        <w:rPr>
          <w:rFonts w:ascii="LinLibertine" w:eastAsia="Times New Roman" w:hAnsi="LinLibertine" w:cs="Times New Roman"/>
          <w:i/>
          <w:iCs/>
          <w:color w:val="000000"/>
          <w:sz w:val="30"/>
          <w:szCs w:val="30"/>
        </w:rPr>
        <w:t>Sociological Perspectives</w:t>
      </w:r>
      <w:r w:rsidRPr="00F22657">
        <w:rPr>
          <w:rFonts w:ascii="LinLibertine" w:eastAsia="Times New Roman" w:hAnsi="LinLibertine" w:cs="Times New Roman"/>
          <w:color w:val="000000"/>
          <w:sz w:val="30"/>
          <w:szCs w:val="30"/>
        </w:rPr>
        <w:t>, 43(4) (2000): S133–148.</w:t>
      </w:r>
    </w:p>
    <w:p w14:paraId="5EBAFFC9"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Questions</w:t>
      </w:r>
    </w:p>
    <w:p w14:paraId="46F3B5B5" w14:textId="77777777" w:rsidR="0061791E" w:rsidRPr="00F22657" w:rsidRDefault="0061791E" w:rsidP="0061791E">
      <w:pPr>
        <w:numPr>
          <w:ilvl w:val="0"/>
          <w:numId w:val="11"/>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Do you believe that the grounded theory method is an appropriate design in this research situation? Why or why not?</w:t>
      </w:r>
    </w:p>
    <w:p w14:paraId="0E8ECBFB" w14:textId="77777777" w:rsidR="0061791E" w:rsidRPr="00F22657" w:rsidRDefault="0061791E" w:rsidP="0061791E">
      <w:pPr>
        <w:numPr>
          <w:ilvl w:val="0"/>
          <w:numId w:val="11"/>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How would you go about conducting field research for gathering the data necessary to accomplish your team’s research objectives?</w:t>
      </w:r>
    </w:p>
    <w:p w14:paraId="17340CE4" w14:textId="77777777" w:rsidR="0061791E" w:rsidRPr="00F22657" w:rsidRDefault="0061791E" w:rsidP="0061791E">
      <w:pPr>
        <w:numPr>
          <w:ilvl w:val="0"/>
          <w:numId w:val="11"/>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Would you begin your research by developing one or more hypotheses beforehand then using your interpretations of the data to test the hypotheses? Why or why not?</w:t>
      </w:r>
    </w:p>
    <w:p w14:paraId="42DF3CDA" w14:textId="77777777" w:rsidR="0061791E" w:rsidRPr="00F22657" w:rsidRDefault="0061791E" w:rsidP="0061791E">
      <w:pPr>
        <w:spacing w:before="240" w:after="240" w:line="488" w:lineRule="atLeast"/>
        <w:outlineLvl w:val="1"/>
        <w:rPr>
          <w:rFonts w:ascii="LinLibertine" w:eastAsia="Times New Roman" w:hAnsi="LinLibertine" w:cs="Times New Roman"/>
          <w:b/>
          <w:bCs/>
          <w:color w:val="000000"/>
          <w:sz w:val="38"/>
          <w:szCs w:val="38"/>
        </w:rPr>
      </w:pPr>
      <w:r w:rsidRPr="00F22657">
        <w:rPr>
          <w:rFonts w:ascii="LinLibertine" w:eastAsia="Times New Roman" w:hAnsi="LinLibertine" w:cs="Times New Roman"/>
          <w:b/>
          <w:bCs/>
          <w:color w:val="000000"/>
          <w:sz w:val="38"/>
          <w:szCs w:val="38"/>
        </w:rPr>
        <w:lastRenderedPageBreak/>
        <w:t>Case 23.3. A Study of Drug Use in the Inner City</w:t>
      </w:r>
    </w:p>
    <w:p w14:paraId="092E4F9D" w14:textId="77777777" w:rsidR="0061791E" w:rsidRPr="00F22657" w:rsidRDefault="0061791E" w:rsidP="0061791E">
      <w:pPr>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You have been assigned the task of designing and carrying out a research study to establish how life situations and extraneous events influence the onset of drug use and drug-using behaviors among an inner-city population of women. You are convinced that the personal and private nature of the issue, together with the lack of formal structure or cohesiveness in the sample, justifies your adopting a grounded theory approach to conducting the research.</w:t>
      </w:r>
    </w:p>
    <w:p w14:paraId="50B0FA66"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Prior to beginning your study, you sought and were granted approval from the university’s ethics committee for research with human participants. You then concluded that the best way to capture the subtleties of people’s reactions to the study topic was to record a series of personal, in-depth interviews with a cross-section of participants who fit the defined sample profile. You select volunteers from a list of women who are receiving subsidized medical care at the university’s medical school. To ensure that participants show up for their interviews, you have received permission to pay all participants $15 for each one-hour interview. To guarantee anonymity, you will also ask all volunteers to use fictitious names.</w:t>
      </w:r>
    </w:p>
    <w:p w14:paraId="3082F605" w14:textId="77777777" w:rsidR="0061791E" w:rsidRPr="00F22657" w:rsidRDefault="0061791E" w:rsidP="0061791E">
      <w:pPr>
        <w:ind w:firstLine="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Although the grounded theory method calls for interviews to be unstructured with no preconceived topics to cover, you elect to develop and follow a loosely structured schedule of topics to ensure the interviews will focus on the events that surround the phenomenon of interest: illicit drug use and social conditions affecting its onset. You begin open coding of the information during and after the first interview, and you continue until all interviews are completed. You are unsure whether to use the intermediate step of axial coding or if you should move directly to theoretical coding and theory development.</w:t>
      </w:r>
    </w:p>
    <w:p w14:paraId="2B24E4ED" w14:textId="77777777" w:rsidR="0061791E" w:rsidRPr="00F22657" w:rsidRDefault="0061791E" w:rsidP="0061791E">
      <w:pPr>
        <w:numPr>
          <w:ilvl w:val="0"/>
          <w:numId w:val="12"/>
        </w:numPr>
        <w:spacing w:before="100" w:beforeAutospacing="1" w:after="100" w:afterAutospacing="1"/>
        <w:ind w:left="240"/>
        <w:jc w:val="both"/>
        <w:rPr>
          <w:rFonts w:ascii="LinLibertine" w:eastAsia="Times New Roman" w:hAnsi="LinLibertine" w:cs="Times New Roman"/>
          <w:color w:val="000000"/>
          <w:sz w:val="30"/>
          <w:szCs w:val="30"/>
        </w:rPr>
      </w:pPr>
      <w:r w:rsidRPr="00F22657">
        <w:rPr>
          <w:rFonts w:ascii="LinLibertine" w:eastAsia="Times New Roman" w:hAnsi="LinLibertine" w:cs="Times New Roman"/>
          <w:i/>
          <w:iCs/>
          <w:color w:val="000000"/>
          <w:sz w:val="30"/>
          <w:szCs w:val="30"/>
        </w:rPr>
        <w:t>Source:</w:t>
      </w:r>
      <w:r w:rsidRPr="00F22657">
        <w:rPr>
          <w:rFonts w:ascii="LinLibertine" w:eastAsia="Times New Roman" w:hAnsi="LinLibertine" w:cs="Times New Roman"/>
          <w:color w:val="000000"/>
          <w:sz w:val="30"/>
          <w:szCs w:val="30"/>
        </w:rPr>
        <w:t> This case is loosely based on an article by Carol A. Roberts, “Drug Use Among Inner-City African American Women: The Process of Managing Loss,” </w:t>
      </w:r>
      <w:r w:rsidRPr="00F22657">
        <w:rPr>
          <w:rFonts w:ascii="LinLibertine" w:eastAsia="Times New Roman" w:hAnsi="LinLibertine" w:cs="Times New Roman"/>
          <w:i/>
          <w:iCs/>
          <w:color w:val="000000"/>
          <w:sz w:val="30"/>
          <w:szCs w:val="30"/>
        </w:rPr>
        <w:t>Qualitative Health Research</w:t>
      </w:r>
      <w:r w:rsidRPr="00F22657">
        <w:rPr>
          <w:rFonts w:ascii="LinLibertine" w:eastAsia="Times New Roman" w:hAnsi="LinLibertine" w:cs="Times New Roman"/>
          <w:color w:val="000000"/>
          <w:sz w:val="30"/>
          <w:szCs w:val="30"/>
        </w:rPr>
        <w:t>, 9(5) (1999): 620–639.</w:t>
      </w:r>
    </w:p>
    <w:p w14:paraId="416F1A09" w14:textId="77777777" w:rsidR="0061791E" w:rsidRPr="00F2265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F22657">
        <w:rPr>
          <w:rFonts w:ascii="LinLibertine" w:eastAsia="Times New Roman" w:hAnsi="LinLibertine" w:cs="Times New Roman"/>
          <w:i/>
          <w:iCs/>
          <w:color w:val="000000"/>
          <w:sz w:val="36"/>
          <w:szCs w:val="36"/>
        </w:rPr>
        <w:t>Questions</w:t>
      </w:r>
    </w:p>
    <w:p w14:paraId="5E469F1D" w14:textId="77777777" w:rsidR="0061791E" w:rsidRPr="00F22657" w:rsidRDefault="0061791E" w:rsidP="0061791E">
      <w:pPr>
        <w:numPr>
          <w:ilvl w:val="0"/>
          <w:numId w:val="13"/>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 xml:space="preserve">Do you feel that the axial coding paradigm, using the six categories proposed by Strauss and Corbin (1997), will be an </w:t>
      </w:r>
      <w:r w:rsidRPr="00F22657">
        <w:rPr>
          <w:rFonts w:ascii="LinLibertine" w:eastAsia="Times New Roman" w:hAnsi="LinLibertine" w:cs="Times New Roman"/>
          <w:color w:val="000000"/>
          <w:sz w:val="30"/>
          <w:szCs w:val="30"/>
        </w:rPr>
        <w:lastRenderedPageBreak/>
        <w:t>asset in arriving at conceptual understanding of the data in this study? Why or why not?</w:t>
      </w:r>
    </w:p>
    <w:p w14:paraId="5652FF30" w14:textId="77777777" w:rsidR="0061791E" w:rsidRPr="00F22657" w:rsidRDefault="0061791E" w:rsidP="0061791E">
      <w:pPr>
        <w:numPr>
          <w:ilvl w:val="0"/>
          <w:numId w:val="13"/>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Do you feel that writing conceptual memos to yourself as you code and categorize data would help you develop a theoretical understanding of the phenomena surrounding drug addiction?</w:t>
      </w:r>
    </w:p>
    <w:p w14:paraId="4914C49B" w14:textId="77777777" w:rsidR="0061791E" w:rsidRPr="00F22657" w:rsidRDefault="0061791E" w:rsidP="0061791E">
      <w:pPr>
        <w:numPr>
          <w:ilvl w:val="0"/>
          <w:numId w:val="13"/>
        </w:numPr>
        <w:spacing w:before="100" w:beforeAutospacing="1" w:after="100" w:afterAutospacing="1"/>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How would you handle the situation if a participant refused to be recorded during her interview?</w:t>
      </w:r>
    </w:p>
    <w:p w14:paraId="3CC744ED" w14:textId="77777777" w:rsidR="0061791E" w:rsidRPr="00F2265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28" w:anchor="R_15031-1034_chp023_rf001" w:history="1">
        <w:r w:rsidRPr="00F22657">
          <w:rPr>
            <w:rFonts w:ascii="LinLibertine" w:eastAsia="Times New Roman" w:hAnsi="LinLibertine" w:cs="Times New Roman"/>
            <w:b/>
            <w:bCs/>
            <w:color w:val="0000FF"/>
            <w:sz w:val="45"/>
            <w:szCs w:val="45"/>
            <w:u w:val="single"/>
          </w:rPr>
          <w:t>Additional Reading</w:t>
        </w:r>
      </w:hyperlink>
    </w:p>
    <w:p w14:paraId="43AC110A" w14:textId="77777777" w:rsidR="0061791E" w:rsidRPr="00F22657" w:rsidRDefault="0061791E" w:rsidP="0061791E">
      <w:pPr>
        <w:ind w:left="360" w:hanging="36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Birks, Melanie and Jane Mills. 2011. </w:t>
      </w:r>
      <w:r w:rsidRPr="00F22657">
        <w:rPr>
          <w:rFonts w:ascii="LinLibertine" w:eastAsia="Times New Roman" w:hAnsi="LinLibertine" w:cs="Times New Roman"/>
          <w:i/>
          <w:iCs/>
          <w:color w:val="000000"/>
          <w:sz w:val="30"/>
          <w:szCs w:val="30"/>
        </w:rPr>
        <w:t>Grounded Theory</w:t>
      </w:r>
      <w:r w:rsidRPr="00F22657">
        <w:rPr>
          <w:rFonts w:ascii="LinLibertine" w:eastAsia="Times New Roman" w:hAnsi="LinLibertine" w:cs="Times New Roman"/>
          <w:color w:val="000000"/>
          <w:sz w:val="30"/>
          <w:szCs w:val="30"/>
        </w:rPr>
        <w:t>. Thousand Oaks, CA: Sage.</w:t>
      </w:r>
    </w:p>
    <w:p w14:paraId="3B167769" w14:textId="77777777" w:rsidR="0061791E" w:rsidRPr="00F22657" w:rsidRDefault="0061791E" w:rsidP="0061791E">
      <w:pPr>
        <w:ind w:left="360" w:hanging="36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Bryant, Antony and Kathy Charmaz. 2010. </w:t>
      </w:r>
      <w:r w:rsidRPr="00F22657">
        <w:rPr>
          <w:rFonts w:ascii="LinLibertine" w:eastAsia="Times New Roman" w:hAnsi="LinLibertine" w:cs="Times New Roman"/>
          <w:i/>
          <w:iCs/>
          <w:color w:val="000000"/>
          <w:sz w:val="30"/>
          <w:szCs w:val="30"/>
        </w:rPr>
        <w:t>The Sage Handbook of Grounded Theory</w:t>
      </w:r>
      <w:r w:rsidRPr="00F22657">
        <w:rPr>
          <w:rFonts w:ascii="LinLibertine" w:eastAsia="Times New Roman" w:hAnsi="LinLibertine" w:cs="Times New Roman"/>
          <w:color w:val="000000"/>
          <w:sz w:val="30"/>
          <w:szCs w:val="30"/>
        </w:rPr>
        <w:t>. Thousand Oaks, CA: Sage.</w:t>
      </w:r>
    </w:p>
    <w:p w14:paraId="67EFDB9F" w14:textId="77777777" w:rsidR="0061791E" w:rsidRPr="00F22657" w:rsidRDefault="0061791E" w:rsidP="0061791E">
      <w:pPr>
        <w:ind w:left="360" w:hanging="36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Charmaz, Kathy. 2006. </w:t>
      </w:r>
      <w:r w:rsidRPr="00F22657">
        <w:rPr>
          <w:rFonts w:ascii="LinLibertine" w:eastAsia="Times New Roman" w:hAnsi="LinLibertine" w:cs="Times New Roman"/>
          <w:i/>
          <w:iCs/>
          <w:color w:val="000000"/>
          <w:sz w:val="30"/>
          <w:szCs w:val="30"/>
        </w:rPr>
        <w:t>Constructing Grounded Theory: A Practical Guide Through Qualitative Analysis</w:t>
      </w:r>
      <w:r w:rsidRPr="00F22657">
        <w:rPr>
          <w:rFonts w:ascii="LinLibertine" w:eastAsia="Times New Roman" w:hAnsi="LinLibertine" w:cs="Times New Roman"/>
          <w:color w:val="000000"/>
          <w:sz w:val="30"/>
          <w:szCs w:val="30"/>
        </w:rPr>
        <w:t>. Thousand Oaks, CA: Sage.</w:t>
      </w:r>
    </w:p>
    <w:p w14:paraId="77C952DA" w14:textId="77777777" w:rsidR="0061791E" w:rsidRPr="00F22657" w:rsidRDefault="0061791E" w:rsidP="0061791E">
      <w:pPr>
        <w:ind w:left="360" w:hanging="36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Corbin, Juliet and Anselm Strauss. 2014. </w:t>
      </w:r>
      <w:r w:rsidRPr="00F22657">
        <w:rPr>
          <w:rFonts w:ascii="LinLibertine" w:eastAsia="Times New Roman" w:hAnsi="LinLibertine" w:cs="Times New Roman"/>
          <w:i/>
          <w:iCs/>
          <w:color w:val="000000"/>
          <w:sz w:val="30"/>
          <w:szCs w:val="30"/>
        </w:rPr>
        <w:t>Basics of Qualitative Research: Techniques and Procedures for Developing Grounded Theory</w:t>
      </w:r>
      <w:r w:rsidRPr="00F22657">
        <w:rPr>
          <w:rFonts w:ascii="LinLibertine" w:eastAsia="Times New Roman" w:hAnsi="LinLibertine" w:cs="Times New Roman"/>
          <w:color w:val="000000"/>
          <w:sz w:val="30"/>
          <w:szCs w:val="30"/>
        </w:rPr>
        <w:t>. 4th ed. Thousand Oaks, CA: Sage.</w:t>
      </w:r>
    </w:p>
    <w:p w14:paraId="017C6B36" w14:textId="77777777" w:rsidR="0061791E" w:rsidRPr="00F22657" w:rsidRDefault="0061791E" w:rsidP="0061791E">
      <w:pPr>
        <w:ind w:left="360" w:hanging="360"/>
        <w:jc w:val="both"/>
        <w:rPr>
          <w:rFonts w:ascii="LinLibertine" w:eastAsia="Times New Roman" w:hAnsi="LinLibertine" w:cs="Times New Roman"/>
          <w:color w:val="000000"/>
          <w:sz w:val="30"/>
          <w:szCs w:val="30"/>
        </w:rPr>
      </w:pPr>
      <w:r w:rsidRPr="00F22657">
        <w:rPr>
          <w:rFonts w:ascii="LinLibertine" w:eastAsia="Times New Roman" w:hAnsi="LinLibertine" w:cs="Times New Roman"/>
          <w:color w:val="000000"/>
          <w:sz w:val="30"/>
          <w:szCs w:val="30"/>
        </w:rPr>
        <w:t>Lee, Thomas W. 1999. </w:t>
      </w:r>
      <w:r w:rsidRPr="00F22657">
        <w:rPr>
          <w:rFonts w:ascii="LinLibertine" w:eastAsia="Times New Roman" w:hAnsi="LinLibertine" w:cs="Times New Roman"/>
          <w:i/>
          <w:iCs/>
          <w:color w:val="000000"/>
          <w:sz w:val="30"/>
          <w:szCs w:val="30"/>
        </w:rPr>
        <w:t>Using Qualitative Methods in Organizational Research</w:t>
      </w:r>
      <w:r w:rsidRPr="00F22657">
        <w:rPr>
          <w:rFonts w:ascii="LinLibertine" w:eastAsia="Times New Roman" w:hAnsi="LinLibertine" w:cs="Times New Roman"/>
          <w:color w:val="000000"/>
          <w:sz w:val="30"/>
          <w:szCs w:val="30"/>
        </w:rPr>
        <w:t>. Thousand Oaks, CA: Sage.</w:t>
      </w:r>
    </w:p>
    <w:p w14:paraId="1D29AD64" w14:textId="77777777" w:rsidR="0061791E" w:rsidRDefault="0061791E" w:rsidP="0061791E"/>
    <w:p w14:paraId="62EDA6B3" w14:textId="77777777" w:rsidR="0061791E" w:rsidRDefault="0061791E" w:rsidP="0061791E">
      <w:pPr>
        <w:rPr>
          <w:color w:val="FF0000"/>
          <w:sz w:val="40"/>
          <w:szCs w:val="40"/>
        </w:rPr>
      </w:pPr>
    </w:p>
    <w:p w14:paraId="52211068" w14:textId="77777777" w:rsidR="0061791E" w:rsidRPr="00BB62B7" w:rsidRDefault="0061791E" w:rsidP="0061791E">
      <w:pPr>
        <w:rPr>
          <w:sz w:val="40"/>
          <w:szCs w:val="40"/>
        </w:rPr>
      </w:pPr>
      <w:r w:rsidRPr="007228FB">
        <w:rPr>
          <w:color w:val="FF0000"/>
          <w:sz w:val="40"/>
          <w:szCs w:val="40"/>
        </w:rPr>
        <w:t>How would you use participant observation in a research project in public administration?</w:t>
      </w:r>
    </w:p>
    <w:p w14:paraId="597F532D" w14:textId="77777777" w:rsidR="0061791E" w:rsidRPr="00BB62B7" w:rsidRDefault="0061791E" w:rsidP="0061791E">
      <w:pPr>
        <w:spacing w:before="480" w:line="702" w:lineRule="atLeast"/>
        <w:jc w:val="center"/>
        <w:outlineLvl w:val="0"/>
        <w:rPr>
          <w:rFonts w:ascii="LinLibertine" w:eastAsia="Times New Roman" w:hAnsi="LinLibertine" w:cs="Times New Roman"/>
          <w:b/>
          <w:bCs/>
          <w:color w:val="000000"/>
          <w:kern w:val="36"/>
          <w:sz w:val="54"/>
          <w:szCs w:val="54"/>
        </w:rPr>
      </w:pPr>
      <w:hyperlink r:id="rId29" w:anchor="R_15031-1034_ch024" w:history="1">
        <w:r w:rsidRPr="00BB62B7">
          <w:rPr>
            <w:rFonts w:ascii="LinLibertine" w:eastAsia="Times New Roman" w:hAnsi="LinLibertine" w:cs="Times New Roman"/>
            <w:b/>
            <w:bCs/>
            <w:color w:val="0000FF"/>
            <w:kern w:val="36"/>
            <w:sz w:val="54"/>
            <w:szCs w:val="54"/>
            <w:u w:val="single"/>
          </w:rPr>
          <w:t>24</w:t>
        </w:r>
      </w:hyperlink>
    </w:p>
    <w:p w14:paraId="04A6C6AF" w14:textId="77777777" w:rsidR="0061791E" w:rsidRPr="00BB62B7" w:rsidRDefault="0061791E" w:rsidP="0061791E">
      <w:pPr>
        <w:spacing w:before="960"/>
        <w:jc w:val="center"/>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r w:rsidRPr="00BB62B7">
        <w:rPr>
          <w:rFonts w:ascii="LinLibertine" w:eastAsia="Times New Roman" w:hAnsi="LinLibertine" w:cs="Times New Roman"/>
          <w:color w:val="000000"/>
          <w:sz w:val="30"/>
          <w:szCs w:val="30"/>
          <w:bdr w:val="double" w:sz="6" w:space="1" w:color="auto" w:frame="1"/>
        </w:rPr>
        <w:t> </w:t>
      </w:r>
    </w:p>
    <w:p w14:paraId="0D20D92E" w14:textId="77777777" w:rsidR="0061791E" w:rsidRPr="00BB62B7" w:rsidRDefault="0061791E" w:rsidP="0061791E">
      <w:pPr>
        <w:spacing w:before="120" w:after="720" w:line="702" w:lineRule="atLeast"/>
        <w:jc w:val="center"/>
        <w:outlineLvl w:val="0"/>
        <w:rPr>
          <w:rFonts w:ascii="LinLibertine" w:eastAsia="Times New Roman" w:hAnsi="LinLibertine" w:cs="Times New Roman"/>
          <w:b/>
          <w:bCs/>
          <w:color w:val="000000"/>
          <w:kern w:val="36"/>
          <w:sz w:val="54"/>
          <w:szCs w:val="54"/>
        </w:rPr>
      </w:pPr>
      <w:hyperlink r:id="rId30" w:anchor="R_15031-1034_ch024" w:history="1">
        <w:r w:rsidRPr="00BB62B7">
          <w:rPr>
            <w:rFonts w:ascii="LinLibertine" w:eastAsia="Times New Roman" w:hAnsi="LinLibertine" w:cs="Times New Roman"/>
            <w:b/>
            <w:bCs/>
            <w:color w:val="0000FF"/>
            <w:kern w:val="36"/>
            <w:sz w:val="54"/>
            <w:szCs w:val="54"/>
            <w:u w:val="single"/>
          </w:rPr>
          <w:t>Research Using Ethnographic Designs</w:t>
        </w:r>
      </w:hyperlink>
    </w:p>
    <w:p w14:paraId="403876A1"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lastRenderedPageBreak/>
        <w:t>Ethnographic methods are not employed as often in public administration research as are survey methods, but, when they are, they can provide great quantities of important information. These study designs typically require more time to conduct than public administrators can devote to their research projects. In the parent disciplines of anthropology and sociology, for example, ethnographic studies may take six months to one year or more to complete. However, when they are used in public administration research, they have the capacity to produce powerful narratives that provide deep insight to the needs of society (LeCompte and Schensul 1999).</w:t>
      </w:r>
    </w:p>
    <w:p w14:paraId="512BCBD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 hallmark of all ethnographic research is the practice of producing reports with “thick description” (Button 1991). </w:t>
      </w:r>
      <w:r w:rsidRPr="00BB62B7">
        <w:rPr>
          <w:rFonts w:ascii="LinLibertine" w:eastAsia="Times New Roman" w:hAnsi="LinLibertine" w:cs="Times New Roman"/>
          <w:i/>
          <w:iCs/>
          <w:color w:val="000000"/>
          <w:sz w:val="30"/>
          <w:szCs w:val="30"/>
        </w:rPr>
        <w:t>Thick description</w:t>
      </w:r>
      <w:r w:rsidRPr="00BB62B7">
        <w:rPr>
          <w:rFonts w:ascii="LinLibertine" w:eastAsia="Times New Roman" w:hAnsi="LinLibertine" w:cs="Times New Roman"/>
          <w:color w:val="000000"/>
          <w:sz w:val="30"/>
          <w:szCs w:val="30"/>
        </w:rPr>
        <w:t> refers to research notes that exhibit great depth and detailed complexity. An example cited by Neuman (2000) is the description of a social event that might last three minutes or less but that takes up many pages of descriptive narrative. This use of the detailed description means that ethnographic methods can be an excellent design choice when the study objective is to provide deep background information for the formation of long-term, strategic public policy. By contrast, ethnographic methods are generally not appropriate when a management decision must be made immediately on the basis of the findings of the research.</w:t>
      </w:r>
    </w:p>
    <w:p w14:paraId="1836D5CA"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31" w:anchor="R_15031-1034_h1_ch024_001" w:history="1">
        <w:r w:rsidRPr="00BB62B7">
          <w:rPr>
            <w:rFonts w:ascii="LinLibertine" w:eastAsia="Times New Roman" w:hAnsi="LinLibertine" w:cs="Times New Roman"/>
            <w:b/>
            <w:bCs/>
            <w:color w:val="0000FF"/>
            <w:sz w:val="45"/>
            <w:szCs w:val="45"/>
            <w:u w:val="single"/>
          </w:rPr>
          <w:t>Brief History of Ethnography</w:t>
        </w:r>
      </w:hyperlink>
    </w:p>
    <w:p w14:paraId="0AB45717"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methods have a long and important history in research in the social and human sciences. They can be traced at least as far back as the Industrial Revolution, if not longer (Neuman 2000). A by-product of the industrialization of Western society was the belief of some observers that factory labor was dehumanizing society; unskilled workers were often seen as just another easily replaceable component in the production process. However, beginning in the nineteenth century, concern over the deteriorating human condition in tenements and factories resulted in calls for changes in the way society treated its citizens. An increasingly educated public, the clergy, and a few in the governing elite came to recognize that the deterioration in social conditions needed to be stopped and, if possible, reversed. These early critics looked to </w:t>
      </w:r>
      <w:r w:rsidRPr="00BB62B7">
        <w:rPr>
          <w:rFonts w:ascii="LinLibertine" w:eastAsia="Times New Roman" w:hAnsi="LinLibertine" w:cs="Times New Roman"/>
          <w:i/>
          <w:iCs/>
          <w:color w:val="000000"/>
          <w:sz w:val="30"/>
          <w:szCs w:val="30"/>
        </w:rPr>
        <w:t>science</w:t>
      </w:r>
      <w:r w:rsidRPr="00BB62B7">
        <w:rPr>
          <w:rFonts w:ascii="LinLibertine" w:eastAsia="Times New Roman" w:hAnsi="LinLibertine" w:cs="Times New Roman"/>
          <w:color w:val="000000"/>
          <w:sz w:val="30"/>
          <w:szCs w:val="30"/>
        </w:rPr>
        <w:t> for solutions to the problems of the new industrialized society.</w:t>
      </w:r>
    </w:p>
    <w:p w14:paraId="437DC36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lastRenderedPageBreak/>
        <w:t>This faith in the power of science to produce answers to society’s problems encouraged adoption of a scientific approach to the study of the social problems and needed changes. If advances in the natural sciences and technology could be </w:t>
      </w:r>
      <w:r w:rsidRPr="00BB62B7">
        <w:rPr>
          <w:rFonts w:ascii="LinLibertine" w:eastAsia="Times New Roman" w:hAnsi="LinLibertine" w:cs="Times New Roman"/>
          <w:i/>
          <w:iCs/>
          <w:color w:val="000000"/>
          <w:sz w:val="30"/>
          <w:szCs w:val="30"/>
        </w:rPr>
        <w:t>profitably</w:t>
      </w:r>
      <w:r w:rsidRPr="00BB62B7">
        <w:rPr>
          <w:rFonts w:ascii="LinLibertine" w:eastAsia="Times New Roman" w:hAnsi="LinLibertine" w:cs="Times New Roman"/>
          <w:color w:val="000000"/>
          <w:sz w:val="30"/>
          <w:szCs w:val="30"/>
        </w:rPr>
        <w:t> applied to problems in industrial invention and innovation, then these critics reasoned, why couldn’t they also be applied to solving social problems? If science could be used to improve production, then why couldn’t it also be used to improve everyone’s quality of life?</w:t>
      </w:r>
    </w:p>
    <w:p w14:paraId="4ABD38A7"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new </w:t>
      </w:r>
      <w:r w:rsidRPr="00BB62B7">
        <w:rPr>
          <w:rFonts w:ascii="LinLibertine" w:eastAsia="Times New Roman" w:hAnsi="LinLibertine" w:cs="Times New Roman"/>
          <w:i/>
          <w:iCs/>
          <w:color w:val="000000"/>
          <w:sz w:val="30"/>
          <w:szCs w:val="30"/>
        </w:rPr>
        <w:t>social</w:t>
      </w:r>
      <w:r w:rsidRPr="00BB62B7">
        <w:rPr>
          <w:rFonts w:ascii="LinLibertine" w:eastAsia="Times New Roman" w:hAnsi="LinLibertine" w:cs="Times New Roman"/>
          <w:color w:val="000000"/>
          <w:sz w:val="30"/>
          <w:szCs w:val="30"/>
        </w:rPr>
        <w:t>, or </w:t>
      </w:r>
      <w:r w:rsidRPr="00BB62B7">
        <w:rPr>
          <w:rFonts w:ascii="LinLibertine" w:eastAsia="Times New Roman" w:hAnsi="LinLibertine" w:cs="Times New Roman"/>
          <w:i/>
          <w:iCs/>
          <w:color w:val="000000"/>
          <w:sz w:val="30"/>
          <w:szCs w:val="30"/>
        </w:rPr>
        <w:t>human</w:t>
      </w:r>
      <w:r w:rsidRPr="00BB62B7">
        <w:rPr>
          <w:rFonts w:ascii="LinLibertine" w:eastAsia="Times New Roman" w:hAnsi="LinLibertine" w:cs="Times New Roman"/>
          <w:color w:val="000000"/>
          <w:sz w:val="30"/>
          <w:szCs w:val="30"/>
        </w:rPr>
        <w:t>, sciences that emerged out of the intellectual vitality that characterized the nineteenth century included sociology, psychology, and anthropology. Sociology emerged from early studies of the social ills that were identified as unwanted byproducts of the industrialization process. At about the same time, early attempts at establishing a systematic way of explaining human behavior and mental aberrations resulted in the modern science of psychology. The tradition born in early travel stories ultimately forged a scientific way of studying indigenous cultures; this social science was called </w:t>
      </w:r>
      <w:r w:rsidRPr="00BB62B7">
        <w:rPr>
          <w:rFonts w:ascii="LinLibertine" w:eastAsia="Times New Roman" w:hAnsi="LinLibertine" w:cs="Times New Roman"/>
          <w:i/>
          <w:iCs/>
          <w:color w:val="000000"/>
          <w:sz w:val="30"/>
          <w:szCs w:val="30"/>
        </w:rPr>
        <w:t>anthropology</w:t>
      </w:r>
      <w:r w:rsidRPr="00BB62B7">
        <w:rPr>
          <w:rFonts w:ascii="LinLibertine" w:eastAsia="Times New Roman" w:hAnsi="LinLibertine" w:cs="Times New Roman"/>
          <w:color w:val="000000"/>
          <w:sz w:val="30"/>
          <w:szCs w:val="30"/>
        </w:rPr>
        <w:t>.</w:t>
      </w:r>
    </w:p>
    <w:p w14:paraId="58334565"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In each of these new scientific disciplines, curiosity about what was happening to society resulted in research that had the objective of understanding (1) why social problems occurred, and (2) what could (or </w:t>
      </w:r>
      <w:r w:rsidRPr="00BB62B7">
        <w:rPr>
          <w:rFonts w:ascii="LinLibertine" w:eastAsia="Times New Roman" w:hAnsi="LinLibertine" w:cs="Times New Roman"/>
          <w:i/>
          <w:iCs/>
          <w:color w:val="000000"/>
          <w:sz w:val="30"/>
          <w:szCs w:val="30"/>
        </w:rPr>
        <w:t>should</w:t>
      </w:r>
      <w:r w:rsidRPr="00BB62B7">
        <w:rPr>
          <w:rFonts w:ascii="LinLibertine" w:eastAsia="Times New Roman" w:hAnsi="LinLibertine" w:cs="Times New Roman"/>
          <w:color w:val="000000"/>
          <w:sz w:val="30"/>
          <w:szCs w:val="30"/>
        </w:rPr>
        <w:t>) be done to change society to improve the lot of the aged, children, the working poor, and the otherwise disenfranchised.</w:t>
      </w:r>
    </w:p>
    <w:p w14:paraId="41FA0EA8"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Early Field Research</w:t>
      </w:r>
    </w:p>
    <w:p w14:paraId="31110A24"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early missionaries and adventurers who traveled with European traders and explorers on voyages to new lands encountered new and, to them, strange cultures. Early reports of these encounters became extremely popular. Often, however, they were little more than lurid or bizarre tales of fancy, with little basis in reality. Despite their limited basis in fact—or possibly because of it—the tales often gained widespread distribution in books and the popular press of the time. Before long, these new social scientists were permitted to join in on the many voyages of discovery that were taking place. Some of these scientific expeditions were carried out specifically to study primitive cultures before they disappeared, were eradicated by disease, or were subsumed into the Western economic tradition.</w:t>
      </w:r>
    </w:p>
    <w:p w14:paraId="75BEC903"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lastRenderedPageBreak/>
        <w:t>Early researchers wanted to understand how these different primitive societies developed and their unique ways of coping with social phenomena. The result was a body of descriptive literature.</w:t>
      </w:r>
    </w:p>
    <w:p w14:paraId="3332724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As reports of these encounters circulated in Europe and the Americas, a few of the early social scientists saw a need to apply what they called “scientific rigor” to the research that was being done. They turned to research methodologies similar to those that had been emerging in the natural sciences, adopting the positivist model with its quantitative emphasis and causal focus. However, interpreting the coping behaviors, attitudes, and other cultural phenomena of primitive peoples was difficult, if not impossible, with the traditional positivist methodology that was applied. The researchers then modified the positivist (quantitative) approach by adding more verbal description and explanation to their investigations and reports. This new way of doing science became what we now call fieldwork, and the scientific disciplines they followed became the social sciences of anthropology and sociology.</w:t>
      </w:r>
    </w:p>
    <w:p w14:paraId="3157B157"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Ethnographic Research</w:t>
      </w:r>
    </w:p>
    <w:p w14:paraId="0C3B2762"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research requires the most intense connection between the researcher and the subjects of the study (Kornblum 1996). Therefore, it is not unusual to see ethnographers who have lived and worked within a group for months and even years to begin to take on a self-identity that places loyalty and connection to the study group above the researcher’s prior connections.</w:t>
      </w:r>
    </w:p>
    <w:p w14:paraId="546286BC"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Although it is similar in method and analysis, ethnography as it is applied today is far different from the ethnography that evolved with the social sciences more than a century ago, as the following statement asserts:</w:t>
      </w:r>
    </w:p>
    <w:p w14:paraId="62D7B39C"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Ethnography is no longer a method used only to study foreign cultures; it has also become a method to study what is foreign or strange in our society and how social subcultures or subworlds are constructed—the adventure that begins just around the corner. (Flick 1999, 641)</w:t>
      </w:r>
    </w:p>
    <w:p w14:paraId="0812554C"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Roots in Anthropology</w:t>
      </w:r>
    </w:p>
    <w:p w14:paraId="425EEE1F"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Anthropology, the source of the method, is divided into three main types: </w:t>
      </w:r>
      <w:r w:rsidRPr="00BB62B7">
        <w:rPr>
          <w:rFonts w:ascii="LinLibertine" w:eastAsia="Times New Roman" w:hAnsi="LinLibertine" w:cs="Times New Roman"/>
          <w:i/>
          <w:iCs/>
          <w:color w:val="000000"/>
          <w:sz w:val="30"/>
          <w:szCs w:val="30"/>
        </w:rPr>
        <w:t>cultural anthropology, physical anthropology</w:t>
      </w:r>
      <w:r w:rsidRPr="00BB62B7">
        <w:rPr>
          <w:rFonts w:ascii="LinLibertine" w:eastAsia="Times New Roman" w:hAnsi="LinLibertine" w:cs="Times New Roman"/>
          <w:color w:val="000000"/>
          <w:sz w:val="30"/>
          <w:szCs w:val="30"/>
        </w:rPr>
        <w:t>, and </w:t>
      </w:r>
      <w:r w:rsidRPr="00BB62B7">
        <w:rPr>
          <w:rFonts w:ascii="LinLibertine" w:eastAsia="Times New Roman" w:hAnsi="LinLibertine" w:cs="Times New Roman"/>
          <w:i/>
          <w:iCs/>
          <w:color w:val="000000"/>
          <w:sz w:val="30"/>
          <w:szCs w:val="30"/>
        </w:rPr>
        <w:t>archaeology</w:t>
      </w:r>
      <w:r w:rsidRPr="00BB62B7">
        <w:rPr>
          <w:rFonts w:ascii="LinLibertine" w:eastAsia="Times New Roman" w:hAnsi="LinLibertine" w:cs="Times New Roman"/>
          <w:color w:val="000000"/>
          <w:sz w:val="30"/>
          <w:szCs w:val="30"/>
        </w:rPr>
        <w:t xml:space="preserve">. Of the three, cultural anthropology has found the largest place in the </w:t>
      </w:r>
      <w:r w:rsidRPr="00BB62B7">
        <w:rPr>
          <w:rFonts w:ascii="LinLibertine" w:eastAsia="Times New Roman" w:hAnsi="LinLibertine" w:cs="Times New Roman"/>
          <w:color w:val="000000"/>
          <w:sz w:val="30"/>
          <w:szCs w:val="30"/>
        </w:rPr>
        <w:lastRenderedPageBreak/>
        <w:t>research conducted in public administration and nonprofit organization management. What began as traditional anthropology is now </w:t>
      </w:r>
      <w:r w:rsidRPr="00BB62B7">
        <w:rPr>
          <w:rFonts w:ascii="LinLibertine" w:eastAsia="Times New Roman" w:hAnsi="LinLibertine" w:cs="Times New Roman"/>
          <w:i/>
          <w:iCs/>
          <w:color w:val="000000"/>
          <w:sz w:val="30"/>
          <w:szCs w:val="30"/>
        </w:rPr>
        <w:t>cultural anthropology</w:t>
      </w:r>
      <w:r w:rsidRPr="00BB62B7">
        <w:rPr>
          <w:rFonts w:ascii="LinLibertine" w:eastAsia="Times New Roman" w:hAnsi="LinLibertine" w:cs="Times New Roman"/>
          <w:color w:val="000000"/>
          <w:sz w:val="30"/>
          <w:szCs w:val="30"/>
        </w:rPr>
        <w:t>. Culturalist</w:t>
      </w:r>
      <w:r w:rsidRPr="00BB62B7">
        <w:rPr>
          <w:rFonts w:ascii="LinLibertine" w:eastAsia="Times New Roman" w:hAnsi="LinLibertine" w:cs="Times New Roman"/>
          <w:i/>
          <w:iCs/>
          <w:color w:val="000000"/>
          <w:sz w:val="30"/>
          <w:szCs w:val="30"/>
        </w:rPr>
        <w:t>s</w:t>
      </w:r>
      <w:r w:rsidRPr="00BB62B7">
        <w:rPr>
          <w:rFonts w:ascii="LinLibertine" w:eastAsia="Times New Roman" w:hAnsi="LinLibertine" w:cs="Times New Roman"/>
          <w:color w:val="000000"/>
          <w:sz w:val="30"/>
          <w:szCs w:val="30"/>
        </w:rPr>
        <w:t> concentrate on describing existing social cultures, no matter how small, distant, or foreign. The research method they use is ethnography. Cultural anthropology, originally devoted almost exclusively to the study of distant, often primitive cultures, was soon found to be an effective and rewarding way of studying less complex but still modern world societies that had remained in relative isolation from the emerging industrialized world (Alasuutari 1995). From that expanded application, it was not long before anthropology and its research tool, ethnography, were seen to have a place in the study of modern cultures and subcultures.</w:t>
      </w:r>
    </w:p>
    <w:p w14:paraId="4EE1E6D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Early physical anthropology researchers follow Darwin’s lead in studying the evolution of humankind. Physical anthropologists are concerned with determining the earliest primate ancestors of humans, the physical characteristics of ethnic groups, and so on. Physical anthropologists are sometimes called in to assist forensic scientists in the identification of crime and accident victims or to aid in the design of living and work spaces, including furniture and tools.</w:t>
      </w:r>
    </w:p>
    <w:p w14:paraId="4B6290B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Archaeologists were, at one time, included under the cultural anthropology umbrella, but they have found their own niche by focusing on studies of ancient and unknown material cultures. Today, however, modern anthropologists can be found conducting analyses of relatively recently deposited cultural artifacts. An example is the archaeological study of garbage dumps to analyze trends in fashion, invention, and other cultural phenomena.</w:t>
      </w:r>
    </w:p>
    <w:p w14:paraId="1F559910"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Ethnographic Research in Sociology</w:t>
      </w:r>
    </w:p>
    <w:p w14:paraId="31DDCE95"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The traditional focus of sociology—another discipline that uses ethnographic methods in research—has also changed. Initially, the purpose of sociological research was to identify cause-and-effect relationships between the perceived ills and abuses of the new industrial society and the lives of adults and children forced to live and work in crowded, dangerous, and often unsanitary conditions. Sociologists worked closely with the earliest social workers to discover how modern industrial society functioned and how to resolve social ills. However, as Alasuutari (1995) noted, “many of the post-war [i.e., World War II], ‘post-industrial’ developments have evaded the conceptual net </w:t>
      </w:r>
      <w:r w:rsidRPr="00BB62B7">
        <w:rPr>
          <w:rFonts w:ascii="LinLibertine" w:eastAsia="Times New Roman" w:hAnsi="LinLibertine" w:cs="Times New Roman"/>
          <w:color w:val="000000"/>
          <w:sz w:val="30"/>
          <w:szCs w:val="30"/>
        </w:rPr>
        <w:lastRenderedPageBreak/>
        <w:t>provided by established academic sociology, which in many countries became a tool for social engineering and social statistics” (24). As a result, the rationale behind traditional sociological research is no longer the only purpose behind such research.</w:t>
      </w:r>
    </w:p>
    <w:p w14:paraId="254B06D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Because of the continually evolving nature of the focus of study for the social sciences, a new direction for ethnographic research emerged. Today, ethnographic studies are carried out in the inner cities of modern societies, in suburban and rural settings, in cross-cultural designs, and in large and small organizations; the purpose is to investigate the ways that the social forces of culture and subculture affect people. More important, however, is the emphasis on </w:t>
      </w:r>
      <w:r w:rsidRPr="00BB62B7">
        <w:rPr>
          <w:rFonts w:ascii="LinLibertine" w:eastAsia="Times New Roman" w:hAnsi="LinLibertine" w:cs="Times New Roman"/>
          <w:i/>
          <w:iCs/>
          <w:color w:val="000000"/>
          <w:sz w:val="30"/>
          <w:szCs w:val="30"/>
        </w:rPr>
        <w:t>interpreting</w:t>
      </w:r>
      <w:r w:rsidRPr="00BB62B7">
        <w:rPr>
          <w:rFonts w:ascii="LinLibertine" w:eastAsia="Times New Roman" w:hAnsi="LinLibertine" w:cs="Times New Roman"/>
          <w:color w:val="000000"/>
          <w:sz w:val="30"/>
          <w:szCs w:val="30"/>
        </w:rPr>
        <w:t> social behavior that has replaced the earlier model of simply </w:t>
      </w:r>
      <w:r w:rsidRPr="00BB62B7">
        <w:rPr>
          <w:rFonts w:ascii="LinLibertine" w:eastAsia="Times New Roman" w:hAnsi="LinLibertine" w:cs="Times New Roman"/>
          <w:i/>
          <w:iCs/>
          <w:color w:val="000000"/>
          <w:sz w:val="30"/>
          <w:szCs w:val="30"/>
        </w:rPr>
        <w:t>describing</w:t>
      </w:r>
      <w:r w:rsidRPr="00BB62B7">
        <w:rPr>
          <w:rFonts w:ascii="LinLibertine" w:eastAsia="Times New Roman" w:hAnsi="LinLibertine" w:cs="Times New Roman"/>
          <w:color w:val="000000"/>
          <w:sz w:val="30"/>
          <w:szCs w:val="30"/>
        </w:rPr>
        <w:t> a society. The role of the ethnographer has taken on the important task of contributing to the formation of public policy.</w:t>
      </w:r>
    </w:p>
    <w:p w14:paraId="4A514DD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There is a fine line dividing sociological and anthropological ethnographic studies. Probably the easiest way to distinguish the two is to remember that sociologists are concerned with the impact of social circumstances and situations on people, whereas anthropologists tend to place greater attention of the role of culture and/or subculture on the behaviors of people. There is a place for both emphases in public administration research.</w:t>
      </w:r>
    </w:p>
    <w:p w14:paraId="2C247A7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Through an eclectic process of trial and error, anthropologists and sociologists developed a way of conducting research that allowed them to meet their study objectives in all kinds of social and cultural settings. The name given to this method was </w:t>
      </w:r>
      <w:r w:rsidRPr="00BB62B7">
        <w:rPr>
          <w:rFonts w:ascii="LinLibertine" w:eastAsia="Times New Roman" w:hAnsi="LinLibertine" w:cs="Times New Roman"/>
          <w:i/>
          <w:iCs/>
          <w:color w:val="000000"/>
          <w:sz w:val="30"/>
          <w:szCs w:val="30"/>
        </w:rPr>
        <w:t>ethnography</w:t>
      </w:r>
      <w:r w:rsidRPr="00BB62B7">
        <w:rPr>
          <w:rFonts w:ascii="LinLibertine" w:eastAsia="Times New Roman" w:hAnsi="LinLibertine" w:cs="Times New Roman"/>
          <w:color w:val="000000"/>
          <w:sz w:val="30"/>
          <w:szCs w:val="30"/>
        </w:rPr>
        <w:t>. Researchers in public administration have also adopted this method of research. Ethnography is one of several important approaches for the study of </w:t>
      </w:r>
      <w:r w:rsidRPr="00BB62B7">
        <w:rPr>
          <w:rFonts w:ascii="LinLibertine" w:eastAsia="Times New Roman" w:hAnsi="LinLibertine" w:cs="Times New Roman"/>
          <w:i/>
          <w:iCs/>
          <w:color w:val="000000"/>
          <w:sz w:val="30"/>
          <w:szCs w:val="30"/>
        </w:rPr>
        <w:t>culture</w:t>
      </w:r>
      <w:r w:rsidRPr="00BB62B7">
        <w:rPr>
          <w:rFonts w:ascii="LinLibertine" w:eastAsia="Times New Roman" w:hAnsi="LinLibertine" w:cs="Times New Roman"/>
          <w:color w:val="000000"/>
          <w:sz w:val="30"/>
          <w:szCs w:val="30"/>
        </w:rPr>
        <w:t> and the act of governance, the formation of public policy, and the administration of diverse agencies and functions of government. The research conducted in these disciplines has often had a great influence on public policy.</w:t>
      </w:r>
    </w:p>
    <w:p w14:paraId="0E79F727"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32" w:anchor="R_15031-1034_h1_ch024_002" w:history="1">
        <w:r w:rsidRPr="00BB62B7">
          <w:rPr>
            <w:rFonts w:ascii="LinLibertine" w:eastAsia="Times New Roman" w:hAnsi="LinLibertine" w:cs="Times New Roman"/>
            <w:b/>
            <w:bCs/>
            <w:color w:val="0000FF"/>
            <w:sz w:val="45"/>
            <w:szCs w:val="45"/>
            <w:u w:val="single"/>
          </w:rPr>
          <w:t>Modern Ethnographic Research</w:t>
        </w:r>
      </w:hyperlink>
    </w:p>
    <w:p w14:paraId="780B4C2F"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The practice of anthropology—and its principle research method, ethnography—evolved and expanded its focus over the last several centuries. Traditional positivist methods used to study primitive cultures and societies were found to be inappropriate for developing understanding of modern cultures and behaviors. Anthropologists in </w:t>
      </w:r>
      <w:r w:rsidRPr="00BB62B7">
        <w:rPr>
          <w:rFonts w:ascii="LinLibertine" w:eastAsia="Times New Roman" w:hAnsi="LinLibertine" w:cs="Times New Roman"/>
          <w:color w:val="000000"/>
          <w:sz w:val="30"/>
          <w:szCs w:val="30"/>
        </w:rPr>
        <w:lastRenderedPageBreak/>
        <w:t>Europe and the United States eventually supplemented traditional research methods with a new approach to the study of primitive cultures and societies that was designed to improve the way of studying humans in social settings. A key element of this new approach was its emphasis on specific ways to prepare field notes and rules for writing about cultural events. The name of this new research approach was ethnography, which involves graphically describing a society or social group.</w:t>
      </w:r>
    </w:p>
    <w:p w14:paraId="6476B00B"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Several different terms are used in reports of ethnographic research. Among these are ethnography, ethnology, and ethology. </w:t>
      </w:r>
      <w:r w:rsidRPr="00BB62B7">
        <w:rPr>
          <w:rFonts w:ascii="LinLibertine" w:eastAsia="Times New Roman" w:hAnsi="LinLibertine" w:cs="Times New Roman"/>
          <w:i/>
          <w:iCs/>
          <w:color w:val="000000"/>
          <w:sz w:val="30"/>
          <w:szCs w:val="30"/>
        </w:rPr>
        <w:t>Ethnography</w:t>
      </w:r>
      <w:r w:rsidRPr="00BB62B7">
        <w:rPr>
          <w:rFonts w:ascii="LinLibertine" w:eastAsia="Times New Roman" w:hAnsi="LinLibertine" w:cs="Times New Roman"/>
          <w:color w:val="000000"/>
          <w:sz w:val="30"/>
          <w:szCs w:val="30"/>
        </w:rPr>
        <w:t> means the descriptive study of living cultures, while </w:t>
      </w:r>
      <w:r w:rsidRPr="00BB62B7">
        <w:rPr>
          <w:rFonts w:ascii="LinLibertine" w:eastAsia="Times New Roman" w:hAnsi="LinLibertine" w:cs="Times New Roman"/>
          <w:i/>
          <w:iCs/>
          <w:color w:val="000000"/>
          <w:sz w:val="30"/>
          <w:szCs w:val="30"/>
        </w:rPr>
        <w:t>ethnology</w:t>
      </w:r>
      <w:r w:rsidRPr="00BB62B7">
        <w:rPr>
          <w:rFonts w:ascii="LinLibertine" w:eastAsia="Times New Roman" w:hAnsi="LinLibertine" w:cs="Times New Roman"/>
          <w:color w:val="000000"/>
          <w:sz w:val="30"/>
          <w:szCs w:val="30"/>
        </w:rPr>
        <w:t>refers to the activity of </w:t>
      </w:r>
      <w:r w:rsidRPr="00BB62B7">
        <w:rPr>
          <w:rFonts w:ascii="LinLibertine" w:eastAsia="Times New Roman" w:hAnsi="LinLibertine" w:cs="Times New Roman"/>
          <w:i/>
          <w:iCs/>
          <w:color w:val="000000"/>
          <w:sz w:val="30"/>
          <w:szCs w:val="30"/>
        </w:rPr>
        <w:t>using</w:t>
      </w:r>
      <w:r w:rsidRPr="00BB62B7">
        <w:rPr>
          <w:rFonts w:ascii="LinLibertine" w:eastAsia="Times New Roman" w:hAnsi="LinLibertine" w:cs="Times New Roman"/>
          <w:color w:val="000000"/>
          <w:sz w:val="30"/>
          <w:szCs w:val="30"/>
        </w:rPr>
        <w:t> the information gathered by ethnography. Thus, a public administrator might use an ethnological report in the process of framing public policy. </w:t>
      </w:r>
      <w:r w:rsidRPr="00BB62B7">
        <w:rPr>
          <w:rFonts w:ascii="LinLibertine" w:eastAsia="Times New Roman" w:hAnsi="LinLibertine" w:cs="Times New Roman"/>
          <w:i/>
          <w:iCs/>
          <w:color w:val="000000"/>
          <w:sz w:val="30"/>
          <w:szCs w:val="30"/>
        </w:rPr>
        <w:t>Ethology</w:t>
      </w:r>
      <w:r w:rsidRPr="00BB62B7">
        <w:rPr>
          <w:rFonts w:ascii="LinLibertine" w:eastAsia="Times New Roman" w:hAnsi="LinLibertine" w:cs="Times New Roman"/>
          <w:color w:val="000000"/>
          <w:sz w:val="30"/>
          <w:szCs w:val="30"/>
        </w:rPr>
        <w:t> is simply a somewhat different approach to the research process; it refers to the less-intense practice of simple observation (Jones 1996). The model presented in </w:t>
      </w:r>
      <w:hyperlink r:id="rId33" w:anchor="_15031-1034_ch024_Figure_001" w:history="1">
        <w:r w:rsidRPr="00BB62B7">
          <w:rPr>
            <w:rFonts w:ascii="LinLibertine" w:eastAsia="Times New Roman" w:hAnsi="LinLibertine" w:cs="Times New Roman"/>
            <w:color w:val="0000FF"/>
            <w:sz w:val="30"/>
            <w:szCs w:val="30"/>
            <w:u w:val="single"/>
          </w:rPr>
          <w:t>Figure 24.1</w:t>
        </w:r>
      </w:hyperlink>
      <w:r w:rsidRPr="00BB62B7">
        <w:rPr>
          <w:rFonts w:ascii="LinLibertine" w:eastAsia="Times New Roman" w:hAnsi="LinLibertine" w:cs="Times New Roman"/>
          <w:color w:val="000000"/>
          <w:sz w:val="30"/>
          <w:szCs w:val="30"/>
        </w:rPr>
        <w:t> illustrates how anthropology, sociology, and psychology, with their different but related research focuses, have each contributed to the development of ethnographic research in public administration.</w:t>
      </w:r>
    </w:p>
    <w:p w14:paraId="384C715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Early ethology is the study of animal behavior, although a branch of this approach seeks to apply ethological principles to human behavior as well. It involves actively observing, recording, and explaining why a culture is described in the way it is by the ethnographer; it is sometimes used as a synonym for “participant observation.” Ethology is used as a synonym for “simple” or unobtrusive observation.</w:t>
      </w:r>
    </w:p>
    <w:p w14:paraId="67A4B3D3"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Ethnographers immerse themselves in the day-to-day activities of the group they are studying to (1) describe the setting in as much detail as possible (a process called </w:t>
      </w:r>
      <w:r w:rsidRPr="00BB62B7">
        <w:rPr>
          <w:rFonts w:ascii="LinLibertine" w:eastAsia="Times New Roman" w:hAnsi="LinLibertine" w:cs="Times New Roman"/>
          <w:i/>
          <w:iCs/>
          <w:color w:val="000000"/>
          <w:sz w:val="30"/>
          <w:szCs w:val="30"/>
        </w:rPr>
        <w:t>thick description</w:t>
      </w:r>
      <w:r w:rsidRPr="00BB62B7">
        <w:rPr>
          <w:rFonts w:ascii="LinLibertine" w:eastAsia="Times New Roman" w:hAnsi="LinLibertine" w:cs="Times New Roman"/>
          <w:color w:val="000000"/>
          <w:sz w:val="30"/>
          <w:szCs w:val="30"/>
        </w:rPr>
        <w:t>) and (2) come up with some theoretical ideas that allow them to interpret and explain what they have seen and heard. The goal is to learn as much as possible about the behaviors and social processes taking place in the culture.</w:t>
      </w:r>
    </w:p>
    <w:p w14:paraId="34939FB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Terry Williams (1996), writing about his ethnographic study of the cocaine subculture in New York after-hours clubs during the 1970s and 1980s, defined ethnography as</w:t>
      </w:r>
    </w:p>
    <w:p w14:paraId="1E62DED6"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 xml:space="preserve">[A] science of cultural description; more than that, it is a methodology. It is a way of looking at people, a way of looking at a culture. It is recording how people perceive, construct and interact in their own private world. It embraces </w:t>
      </w:r>
      <w:r w:rsidRPr="00BB62B7">
        <w:rPr>
          <w:rFonts w:ascii="LinLibertine" w:eastAsia="Times New Roman" w:hAnsi="LinLibertine" w:cs="Times New Roman"/>
          <w:color w:val="000000"/>
          <w:sz w:val="27"/>
          <w:szCs w:val="27"/>
        </w:rPr>
        <w:lastRenderedPageBreak/>
        <w:t>the subjective realm of the individuals it seeks to understand. It defines the group the way the group defines itself. (31, 32)</w:t>
      </w:r>
    </w:p>
    <w:p w14:paraId="520B89C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Ethnographers live, work, and play with their study populations for long periods of time. Their aim is to be absorbed into the group and accepted as a nonthreatening, nonintrusive member. Then events and interrelationships will unfold as they naturally would, as if the observer were not in attendance. This process is called “gaining entry,” and it is the key to a successful research project. Without acceptance, without entry into the inner workings of the group, the researcher remains an outsider, looked upon as a threat and subsequently either shunned or lied to at best.</w:t>
      </w:r>
    </w:p>
    <w:p w14:paraId="1FB1E041" w14:textId="77777777" w:rsidR="0061791E" w:rsidRPr="00BB62B7" w:rsidRDefault="0061791E" w:rsidP="0061791E">
      <w:pPr>
        <w:spacing w:after="120"/>
        <w:ind w:left="1128" w:hanging="1128"/>
        <w:rPr>
          <w:rFonts w:ascii="LinLibertine" w:eastAsia="Times New Roman" w:hAnsi="LinLibertine" w:cs="Times New Roman"/>
          <w:b/>
          <w:bCs/>
          <w:color w:val="000000"/>
          <w:sz w:val="27"/>
          <w:szCs w:val="27"/>
        </w:rPr>
      </w:pPr>
      <w:hyperlink r:id="rId34" w:anchor="R_15031-1034_ch024_Figure_001" w:history="1">
        <w:r w:rsidRPr="00BB62B7">
          <w:rPr>
            <w:rFonts w:ascii="LinLibertine" w:eastAsia="Times New Roman" w:hAnsi="LinLibertine" w:cs="Times New Roman"/>
            <w:color w:val="0000FF"/>
            <w:u w:val="single"/>
          </w:rPr>
          <w:t>Figure 24.1</w:t>
        </w:r>
        <w:r w:rsidRPr="00BB62B7">
          <w:rPr>
            <w:rFonts w:ascii="LinLibertine" w:eastAsia="Times New Roman" w:hAnsi="LinLibertine" w:cs="Times New Roman"/>
            <w:b/>
            <w:bCs/>
            <w:color w:val="0000FF"/>
            <w:u w:val="single"/>
          </w:rPr>
          <w:t> </w:t>
        </w:r>
        <w:r w:rsidRPr="00BB62B7">
          <w:rPr>
            <w:rFonts w:ascii="LinLibertine" w:eastAsia="Times New Roman" w:hAnsi="LinLibertine" w:cs="Times New Roman"/>
            <w:b/>
            <w:bCs/>
            <w:color w:val="0000FF"/>
            <w:u w:val="single"/>
          </w:rPr>
          <w:t>The Relationships Between Ethnography and Public Administration</w:t>
        </w:r>
      </w:hyperlink>
    </w:p>
    <w:p w14:paraId="05F4D73D" w14:textId="77777777" w:rsidR="0061791E" w:rsidRPr="00BB62B7" w:rsidRDefault="0061791E" w:rsidP="0061791E">
      <w:pPr>
        <w:jc w:val="center"/>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fldChar w:fldCharType="begin"/>
      </w:r>
      <w:r w:rsidRPr="00BB62B7">
        <w:rPr>
          <w:rFonts w:ascii="LinLibertine" w:eastAsia="Times New Roman" w:hAnsi="LinLibertine" w:cs="Times New Roman"/>
          <w:color w:val="000000"/>
          <w:sz w:val="30"/>
          <w:szCs w:val="30"/>
        </w:rPr>
        <w:instrText xml:space="preserve"> INCLUDEPICTURE "https://jigsaw.vitalsource.com/books/9781351721479/epub/OEBPS/Images/ch024_fig_001.jpg" \* MERGEFORMATINET </w:instrText>
      </w:r>
      <w:r w:rsidRPr="00BB62B7">
        <w:rPr>
          <w:rFonts w:ascii="LinLibertine" w:eastAsia="Times New Roman" w:hAnsi="LinLibertine" w:cs="Times New Roman"/>
          <w:color w:val="000000"/>
          <w:sz w:val="30"/>
          <w:szCs w:val="30"/>
        </w:rPr>
        <w:fldChar w:fldCharType="separate"/>
      </w:r>
      <w:r w:rsidRPr="00BB62B7">
        <w:rPr>
          <w:rFonts w:ascii="LinLibertine" w:eastAsia="Times New Roman" w:hAnsi="LinLibertine" w:cs="Times New Roman"/>
          <w:noProof/>
          <w:color w:val="000000"/>
          <w:sz w:val="30"/>
          <w:szCs w:val="30"/>
        </w:rPr>
        <mc:AlternateContent>
          <mc:Choice Requires="wps">
            <w:drawing>
              <wp:inline distT="0" distB="0" distL="0" distR="0" wp14:anchorId="1A47FBB1" wp14:editId="568F7E0E">
                <wp:extent cx="302260" cy="302260"/>
                <wp:effectExtent l="0" t="0" r="0" b="0"/>
                <wp:docPr id="3" name="Rectangle 3" descr="Figure 2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9A2900" id="Rectangle 3" o:spid="_x0000_s1026" alt="Figure 24.1"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" filled="f" stroked="f">
                <o:lock v:ext="edit" aspectratio="t"/>
                <w10:anchorlock/>
              </v:rect>
            </w:pict>
          </mc:Fallback>
        </mc:AlternateContent>
      </w:r>
      <w:r w:rsidRPr="00BB62B7">
        <w:rPr>
          <w:rFonts w:ascii="LinLibertine" w:eastAsia="Times New Roman" w:hAnsi="LinLibertine" w:cs="Times New Roman"/>
          <w:color w:val="000000"/>
          <w:sz w:val="30"/>
          <w:szCs w:val="30"/>
        </w:rPr>
        <w:fldChar w:fldCharType="end"/>
      </w:r>
    </w:p>
    <w:p w14:paraId="1CF1E66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process of living with a social group (</w:t>
      </w:r>
      <w:r w:rsidRPr="00BB62B7">
        <w:rPr>
          <w:rFonts w:ascii="LinLibertine" w:eastAsia="Times New Roman" w:hAnsi="LinLibertine" w:cs="Times New Roman"/>
          <w:i/>
          <w:iCs/>
          <w:color w:val="000000"/>
          <w:sz w:val="30"/>
          <w:szCs w:val="30"/>
        </w:rPr>
        <w:t>doing fieldwork</w:t>
      </w:r>
      <w:r w:rsidRPr="00BB62B7">
        <w:rPr>
          <w:rFonts w:ascii="LinLibertine" w:eastAsia="Times New Roman" w:hAnsi="LinLibertine" w:cs="Times New Roman"/>
          <w:color w:val="000000"/>
          <w:sz w:val="30"/>
          <w:szCs w:val="30"/>
        </w:rPr>
        <w:t>) involves observing and recording individuals’ behaviors. The ethnographer summarizes these field notes into a larger descriptive generalization that purports to describe the behavior of the larger society (Emerson, Fretz, and Shaw 1995). The researcher must then develop </w:t>
      </w:r>
      <w:r w:rsidRPr="00BB62B7">
        <w:rPr>
          <w:rFonts w:ascii="LinLibertine" w:eastAsia="Times New Roman" w:hAnsi="LinLibertine" w:cs="Times New Roman"/>
          <w:i/>
          <w:iCs/>
          <w:color w:val="000000"/>
          <w:sz w:val="30"/>
          <w:szCs w:val="30"/>
        </w:rPr>
        <w:t>subjective descriptions</w:t>
      </w:r>
      <w:r w:rsidRPr="00BB62B7">
        <w:rPr>
          <w:rFonts w:ascii="LinLibertine" w:eastAsia="Times New Roman" w:hAnsi="LinLibertine" w:cs="Times New Roman"/>
          <w:color w:val="000000"/>
          <w:sz w:val="30"/>
          <w:szCs w:val="30"/>
        </w:rPr>
        <w:t> that are based on a large number of </w:t>
      </w:r>
      <w:r w:rsidRPr="00BB62B7">
        <w:rPr>
          <w:rFonts w:ascii="LinLibertine" w:eastAsia="Times New Roman" w:hAnsi="LinLibertine" w:cs="Times New Roman"/>
          <w:i/>
          <w:iCs/>
          <w:color w:val="000000"/>
          <w:sz w:val="30"/>
          <w:szCs w:val="30"/>
        </w:rPr>
        <w:t>generalizations</w:t>
      </w:r>
      <w:r w:rsidRPr="00BB62B7">
        <w:rPr>
          <w:rFonts w:ascii="LinLibertine" w:eastAsia="Times New Roman" w:hAnsi="LinLibertine" w:cs="Times New Roman"/>
          <w:color w:val="000000"/>
          <w:sz w:val="30"/>
          <w:szCs w:val="30"/>
        </w:rPr>
        <w:t>. In making these generalizations, the ethnographer moves from the </w:t>
      </w:r>
      <w:r w:rsidRPr="00BB62B7">
        <w:rPr>
          <w:rFonts w:ascii="LinLibertine" w:eastAsia="Times New Roman" w:hAnsi="LinLibertine" w:cs="Times New Roman"/>
          <w:i/>
          <w:iCs/>
          <w:color w:val="000000"/>
          <w:sz w:val="30"/>
          <w:szCs w:val="30"/>
        </w:rPr>
        <w:t>specific</w:t>
      </w:r>
      <w:r w:rsidRPr="00BB62B7">
        <w:rPr>
          <w:rFonts w:ascii="LinLibertine" w:eastAsia="Times New Roman" w:hAnsi="LinLibertine" w:cs="Times New Roman"/>
          <w:color w:val="000000"/>
          <w:sz w:val="30"/>
          <w:szCs w:val="30"/>
        </w:rPr>
        <w:t> to the </w:t>
      </w:r>
      <w:r w:rsidRPr="00BB62B7">
        <w:rPr>
          <w:rFonts w:ascii="LinLibertine" w:eastAsia="Times New Roman" w:hAnsi="LinLibertine" w:cs="Times New Roman"/>
          <w:i/>
          <w:iCs/>
          <w:color w:val="000000"/>
          <w:sz w:val="30"/>
          <w:szCs w:val="30"/>
        </w:rPr>
        <w:t>general</w:t>
      </w:r>
      <w:r w:rsidRPr="00BB62B7">
        <w:rPr>
          <w:rFonts w:ascii="LinLibertine" w:eastAsia="Times New Roman" w:hAnsi="LinLibertine" w:cs="Times New Roman"/>
          <w:color w:val="000000"/>
          <w:sz w:val="30"/>
          <w:szCs w:val="30"/>
        </w:rPr>
        <w:t>. That is, the behaviors of one or a small group are used to infer that those behaviors are also those of the larger groups in similar circumstances. The ethnographer should also develop </w:t>
      </w:r>
      <w:r w:rsidRPr="00BB62B7">
        <w:rPr>
          <w:rFonts w:ascii="LinLibertine" w:eastAsia="Times New Roman" w:hAnsi="LinLibertine" w:cs="Times New Roman"/>
          <w:i/>
          <w:iCs/>
          <w:color w:val="000000"/>
          <w:sz w:val="30"/>
          <w:szCs w:val="30"/>
        </w:rPr>
        <w:t>interpretations</w:t>
      </w:r>
      <w:r w:rsidRPr="00BB62B7">
        <w:rPr>
          <w:rFonts w:ascii="LinLibertine" w:eastAsia="Times New Roman" w:hAnsi="LinLibertine" w:cs="Times New Roman"/>
          <w:color w:val="000000"/>
          <w:sz w:val="30"/>
          <w:szCs w:val="30"/>
        </w:rPr>
        <w:t> of the observed behaviors; the question “why” should be answered to the best of the ethnographer’s ability.</w:t>
      </w:r>
    </w:p>
    <w:p w14:paraId="07219DF8"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According to Jones (1996), one of the major attractions of ethnography for field researchers is it permits them to develop meaningful, coherent pictures of the social group and setting. Researchers get to see the phenomenon as a whole, in all of its complexity, and not just bits and pieces.</w:t>
      </w:r>
    </w:p>
    <w:p w14:paraId="2FB5F9A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Jones also suggested a way to differentiate between ethnological and ethological research involving human behavior. The key differentiating characteristic is whether the research is conducted to develop a theory or to provide background information needed to make a management decision. </w:t>
      </w:r>
      <w:hyperlink r:id="rId35" w:anchor="_15031-1034_ch024_Figure_002" w:history="1">
        <w:r w:rsidRPr="00BB62B7">
          <w:rPr>
            <w:rFonts w:ascii="LinLibertine" w:eastAsia="Times New Roman" w:hAnsi="LinLibertine" w:cs="Times New Roman"/>
            <w:color w:val="0000FF"/>
            <w:sz w:val="30"/>
            <w:szCs w:val="30"/>
            <w:u w:val="single"/>
          </w:rPr>
          <w:t>Figure 24.2</w:t>
        </w:r>
      </w:hyperlink>
      <w:r w:rsidRPr="00BB62B7">
        <w:rPr>
          <w:rFonts w:ascii="LinLibertine" w:eastAsia="Times New Roman" w:hAnsi="LinLibertine" w:cs="Times New Roman"/>
          <w:color w:val="000000"/>
          <w:sz w:val="30"/>
          <w:szCs w:val="30"/>
        </w:rPr>
        <w:t>illustrates the point that, despite the different steps involved in the two approaches, they are very similar.</w:t>
      </w:r>
    </w:p>
    <w:p w14:paraId="73383FBB"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For most of the early history of ethnography, study results were often little more than simple descriptions; interpretation of the event, setting, or behavior was left to the reader. This often resulted in doubts </w:t>
      </w:r>
      <w:r w:rsidRPr="00BB62B7">
        <w:rPr>
          <w:rFonts w:ascii="LinLibertine" w:eastAsia="Times New Roman" w:hAnsi="LinLibertine" w:cs="Times New Roman"/>
          <w:color w:val="000000"/>
          <w:sz w:val="30"/>
          <w:szCs w:val="30"/>
        </w:rPr>
        <w:lastRenderedPageBreak/>
        <w:t>about the </w:t>
      </w:r>
      <w:r w:rsidRPr="00BB62B7">
        <w:rPr>
          <w:rFonts w:ascii="LinLibertine" w:eastAsia="Times New Roman" w:hAnsi="LinLibertine" w:cs="Times New Roman"/>
          <w:i/>
          <w:iCs/>
          <w:color w:val="000000"/>
          <w:sz w:val="30"/>
          <w:szCs w:val="30"/>
        </w:rPr>
        <w:t>validity</w:t>
      </w:r>
      <w:r w:rsidRPr="00BB62B7">
        <w:rPr>
          <w:rFonts w:ascii="LinLibertine" w:eastAsia="Times New Roman" w:hAnsi="LinLibertine" w:cs="Times New Roman"/>
          <w:color w:val="000000"/>
          <w:sz w:val="30"/>
          <w:szCs w:val="30"/>
        </w:rPr>
        <w:t> of ethnographic generalizations. The following statement illustrates the older paradigm: “Ethnographic generalizations are by themselves only best fit statements about the incidence or frequency of occurrences in the society. By themselves they say little or nothing about what goes with what” (Cohen 1973, 37, 38). Cohen’s (1973) solution to this problem was to call for more correlational or </w:t>
      </w:r>
      <w:r w:rsidRPr="00BB62B7">
        <w:rPr>
          <w:rFonts w:ascii="LinLibertine" w:eastAsia="Times New Roman" w:hAnsi="LinLibertine" w:cs="Times New Roman"/>
          <w:i/>
          <w:iCs/>
          <w:color w:val="000000"/>
          <w:sz w:val="30"/>
          <w:szCs w:val="30"/>
        </w:rPr>
        <w:t>causal</w:t>
      </w:r>
      <w:r w:rsidRPr="00BB62B7">
        <w:rPr>
          <w:rFonts w:ascii="LinLibertine" w:eastAsia="Times New Roman" w:hAnsi="LinLibertine" w:cs="Times New Roman"/>
          <w:color w:val="000000"/>
          <w:sz w:val="30"/>
          <w:szCs w:val="30"/>
        </w:rPr>
        <w:t> research into ethnography. This, he believed, would improve validity by improving interpretation.</w:t>
      </w:r>
    </w:p>
    <w:p w14:paraId="4FF1D9A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In its earliest applications, </w:t>
      </w:r>
      <w:r w:rsidRPr="00BB62B7">
        <w:rPr>
          <w:rFonts w:ascii="LinLibertine" w:eastAsia="Times New Roman" w:hAnsi="LinLibertine" w:cs="Times New Roman"/>
          <w:i/>
          <w:iCs/>
          <w:color w:val="000000"/>
          <w:sz w:val="30"/>
          <w:szCs w:val="30"/>
        </w:rPr>
        <w:t>doing ethnography</w:t>
      </w:r>
      <w:r w:rsidRPr="00BB62B7">
        <w:rPr>
          <w:rFonts w:ascii="LinLibertine" w:eastAsia="Times New Roman" w:hAnsi="LinLibertine" w:cs="Times New Roman"/>
          <w:color w:val="000000"/>
          <w:sz w:val="30"/>
          <w:szCs w:val="30"/>
        </w:rPr>
        <w:t> meant studying isolated, primitive cultures to develop a descriptive profile or summary of the social practices of the group of people (Naroll and Cohen 1973). Today, however, ethnographers are not required to seek out isolated, primitive groups for their research; rather, there are no limits to how and where ethnographic field research can be applied. Ethnography, like its parent discipline anthropology, is not restricted to the study of distant or illiterate cultures. One reason for this is that there are few if any societies left untouched anywhere in the world. Most have been studied and restudied to the point that little new about their “primitiveness” can be learned. The world has become smaller, and distant, diverse societies no longer live in “glorious isolation.” As Alasuutari (1995) noted, “The ‘Other’ have moved next door, and ‘Western’ artifacts, television programmes, and economic networks have invaded practically the entire globe” (24).</w:t>
      </w:r>
    </w:p>
    <w:p w14:paraId="0C36B029"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Focus of Modern Ethnographers</w:t>
      </w:r>
    </w:p>
    <w:p w14:paraId="2910D0FD"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Ethnographers collect samples of types of behavior in order to understand the cognitive and social structure </w:t>
      </w:r>
      <w:r w:rsidRPr="00BB62B7">
        <w:rPr>
          <w:rFonts w:ascii="LinLibertine" w:eastAsia="Times New Roman" w:hAnsi="LinLibertine" w:cs="Times New Roman"/>
          <w:i/>
          <w:iCs/>
          <w:color w:val="000000"/>
          <w:sz w:val="30"/>
          <w:szCs w:val="30"/>
        </w:rPr>
        <w:t>regularities</w:t>
      </w:r>
      <w:r w:rsidRPr="00BB62B7">
        <w:rPr>
          <w:rFonts w:ascii="LinLibertine" w:eastAsia="Times New Roman" w:hAnsi="LinLibertine" w:cs="Times New Roman"/>
          <w:color w:val="000000"/>
          <w:sz w:val="30"/>
          <w:szCs w:val="30"/>
        </w:rPr>
        <w:t> in a society. They study the roles people adopt, economic systems, political systems, religious systems, personality, and many other aspects of any or all types of social organizations and systems.</w:t>
      </w:r>
    </w:p>
    <w:p w14:paraId="052E475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Duveen (2000) has described the work that ethnographers do as the production of </w:t>
      </w:r>
      <w:r w:rsidRPr="00BB62B7">
        <w:rPr>
          <w:rFonts w:ascii="LinLibertine" w:eastAsia="Times New Roman" w:hAnsi="LinLibertine" w:cs="Times New Roman"/>
          <w:i/>
          <w:iCs/>
          <w:color w:val="000000"/>
          <w:sz w:val="30"/>
          <w:szCs w:val="30"/>
        </w:rPr>
        <w:t>thick description</w:t>
      </w:r>
      <w:r w:rsidRPr="00BB62B7">
        <w:rPr>
          <w:rFonts w:ascii="LinLibertine" w:eastAsia="Times New Roman" w:hAnsi="LinLibertine" w:cs="Times New Roman"/>
          <w:color w:val="000000"/>
          <w:sz w:val="30"/>
          <w:szCs w:val="30"/>
        </w:rPr>
        <w:t xml:space="preserve">, a two-part process. First, the researcher writes down everything that he or she sees. Duveen referred to this thick description of events, settings, and behaviors as capturing the sense of the social actors, groups, and institutions being described. Second, the researcher’s own interpretation of what is recorded influences the final description. Together, the two-part process of </w:t>
      </w:r>
      <w:r w:rsidRPr="00BB62B7">
        <w:rPr>
          <w:rFonts w:ascii="LinLibertine" w:eastAsia="Times New Roman" w:hAnsi="LinLibertine" w:cs="Times New Roman"/>
          <w:color w:val="000000"/>
          <w:sz w:val="30"/>
          <w:szCs w:val="30"/>
        </w:rPr>
        <w:lastRenderedPageBreak/>
        <w:t>observation-interpretation moves from one activity to the other then backward to repeat itself again and again.</w:t>
      </w:r>
    </w:p>
    <w:p w14:paraId="5B7293E3" w14:textId="77777777" w:rsidR="0061791E" w:rsidRPr="00BB62B7" w:rsidRDefault="0061791E" w:rsidP="0061791E">
      <w:pPr>
        <w:ind w:firstLine="240"/>
        <w:jc w:val="both"/>
        <w:rPr>
          <w:rFonts w:ascii="LinLibertine" w:eastAsia="Times New Roman" w:hAnsi="LinLibertine" w:cs="Times New Roman"/>
          <w:color w:val="000000"/>
          <w:sz w:val="30"/>
          <w:szCs w:val="30"/>
        </w:rPr>
      </w:pPr>
      <w:hyperlink r:id="rId36" w:anchor="_15031-1034_ch024_Figure_003" w:history="1">
        <w:r w:rsidRPr="00BB62B7">
          <w:rPr>
            <w:rFonts w:ascii="LinLibertine" w:eastAsia="Times New Roman" w:hAnsi="LinLibertine" w:cs="Times New Roman"/>
            <w:color w:val="0000FF"/>
            <w:sz w:val="30"/>
            <w:szCs w:val="30"/>
            <w:u w:val="single"/>
          </w:rPr>
          <w:t>Figure 24.3</w:t>
        </w:r>
      </w:hyperlink>
      <w:r w:rsidRPr="00BB62B7">
        <w:rPr>
          <w:rFonts w:ascii="LinLibertine" w:eastAsia="Times New Roman" w:hAnsi="LinLibertine" w:cs="Times New Roman"/>
          <w:color w:val="000000"/>
          <w:sz w:val="30"/>
          <w:szCs w:val="30"/>
        </w:rPr>
        <w:t> illustrates the key processes involved in conducting and presenting the results of an ethnographic study. It illustrates several different layers of observation-interpretation that characterize good ethnographic fieldwork, field notes, and final report preparation.</w:t>
      </w:r>
    </w:p>
    <w:p w14:paraId="55A064C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methods are employed in a number of different forms. Examples of these variations are </w:t>
      </w:r>
      <w:r w:rsidRPr="00BB62B7">
        <w:rPr>
          <w:rFonts w:ascii="LinLibertine" w:eastAsia="Times New Roman" w:hAnsi="LinLibertine" w:cs="Times New Roman"/>
          <w:i/>
          <w:iCs/>
          <w:color w:val="000000"/>
          <w:sz w:val="30"/>
          <w:szCs w:val="30"/>
        </w:rPr>
        <w:t>ethnomethodology, community-based ethnography</w:t>
      </w:r>
      <w:r w:rsidRPr="00BB62B7">
        <w:rPr>
          <w:rFonts w:ascii="LinLibertine" w:eastAsia="Times New Roman" w:hAnsi="LinLibertine" w:cs="Times New Roman"/>
          <w:color w:val="000000"/>
          <w:sz w:val="30"/>
          <w:szCs w:val="30"/>
        </w:rPr>
        <w:t>, and </w:t>
      </w:r>
      <w:r w:rsidRPr="00BB62B7">
        <w:rPr>
          <w:rFonts w:ascii="LinLibertine" w:eastAsia="Times New Roman" w:hAnsi="LinLibertine" w:cs="Times New Roman"/>
          <w:i/>
          <w:iCs/>
          <w:color w:val="000000"/>
          <w:sz w:val="30"/>
          <w:szCs w:val="30"/>
        </w:rPr>
        <w:t>ethology</w:t>
      </w:r>
      <w:r w:rsidRPr="00BB62B7">
        <w:rPr>
          <w:rFonts w:ascii="LinLibertine" w:eastAsia="Times New Roman" w:hAnsi="LinLibertine" w:cs="Times New Roman"/>
          <w:color w:val="000000"/>
          <w:sz w:val="30"/>
          <w:szCs w:val="30"/>
        </w:rPr>
        <w:t>. Each of these research approaches has its advocates and detractors, but all are considered to fall under the larger category of field research.</w:t>
      </w:r>
    </w:p>
    <w:p w14:paraId="0546DCB2" w14:textId="77777777" w:rsidR="0061791E" w:rsidRPr="00BB62B7" w:rsidRDefault="0061791E" w:rsidP="0061791E">
      <w:pPr>
        <w:spacing w:after="120"/>
        <w:ind w:left="1128" w:hanging="1128"/>
        <w:rPr>
          <w:rFonts w:ascii="LinLibertine" w:eastAsia="Times New Roman" w:hAnsi="LinLibertine" w:cs="Times New Roman"/>
          <w:b/>
          <w:bCs/>
          <w:color w:val="000000"/>
          <w:sz w:val="27"/>
          <w:szCs w:val="27"/>
        </w:rPr>
      </w:pPr>
      <w:hyperlink r:id="rId37" w:anchor="R_15031-1034_ch024_Figure_002" w:history="1">
        <w:r w:rsidRPr="00BB62B7">
          <w:rPr>
            <w:rFonts w:ascii="LinLibertine" w:eastAsia="Times New Roman" w:hAnsi="LinLibertine" w:cs="Times New Roman"/>
            <w:color w:val="0000FF"/>
            <w:u w:val="single"/>
          </w:rPr>
          <w:t>Figure 24.2</w:t>
        </w:r>
        <w:r w:rsidRPr="00BB62B7">
          <w:rPr>
            <w:rFonts w:ascii="LinLibertine" w:eastAsia="Times New Roman" w:hAnsi="LinLibertine" w:cs="Times New Roman"/>
            <w:b/>
            <w:bCs/>
            <w:color w:val="0000FF"/>
            <w:u w:val="single"/>
          </w:rPr>
          <w:t> </w:t>
        </w:r>
        <w:r w:rsidRPr="00BB62B7">
          <w:rPr>
            <w:rFonts w:ascii="LinLibertine" w:eastAsia="Times New Roman" w:hAnsi="LinLibertine" w:cs="Times New Roman"/>
            <w:b/>
            <w:bCs/>
            <w:color w:val="0000FF"/>
            <w:u w:val="single"/>
          </w:rPr>
          <w:t>Fieldwork Processes for Ethnography and Ethology</w:t>
        </w:r>
      </w:hyperlink>
    </w:p>
    <w:p w14:paraId="0A8D4733" w14:textId="77777777" w:rsidR="0061791E" w:rsidRPr="00BB62B7" w:rsidRDefault="0061791E" w:rsidP="0061791E">
      <w:pPr>
        <w:jc w:val="center"/>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fldChar w:fldCharType="begin"/>
      </w:r>
      <w:r w:rsidRPr="00BB62B7">
        <w:rPr>
          <w:rFonts w:ascii="LinLibertine" w:eastAsia="Times New Roman" w:hAnsi="LinLibertine" w:cs="Times New Roman"/>
          <w:color w:val="000000"/>
          <w:sz w:val="30"/>
          <w:szCs w:val="30"/>
        </w:rPr>
        <w:instrText xml:space="preserve"> INCLUDEPICTURE "https://jigsaw.vitalsource.com/books/9781351721479/epub/OEBPS/Images/ch024_fig_002.jpg" \* MERGEFORMATINET </w:instrText>
      </w:r>
      <w:r w:rsidRPr="00BB62B7">
        <w:rPr>
          <w:rFonts w:ascii="LinLibertine" w:eastAsia="Times New Roman" w:hAnsi="LinLibertine" w:cs="Times New Roman"/>
          <w:color w:val="000000"/>
          <w:sz w:val="30"/>
          <w:szCs w:val="30"/>
        </w:rPr>
        <w:fldChar w:fldCharType="separate"/>
      </w:r>
      <w:r w:rsidRPr="00BB62B7">
        <w:rPr>
          <w:rFonts w:ascii="LinLibertine" w:eastAsia="Times New Roman" w:hAnsi="LinLibertine" w:cs="Times New Roman"/>
          <w:noProof/>
          <w:color w:val="000000"/>
          <w:sz w:val="30"/>
          <w:szCs w:val="30"/>
        </w:rPr>
        <mc:AlternateContent>
          <mc:Choice Requires="wps">
            <w:drawing>
              <wp:inline distT="0" distB="0" distL="0" distR="0" wp14:anchorId="59E3C73C" wp14:editId="125F3512">
                <wp:extent cx="302260" cy="302260"/>
                <wp:effectExtent l="0" t="0" r="0" b="0"/>
                <wp:docPr id="2" name="Rectangle 2" descr="Figure 2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79EB33" id="Rectangle 2" o:spid="_x0000_s1026" alt="Figure 24.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" filled="f" stroked="f">
                <o:lock v:ext="edit" aspectratio="t"/>
                <w10:anchorlock/>
              </v:rect>
            </w:pict>
          </mc:Fallback>
        </mc:AlternateContent>
      </w:r>
      <w:r w:rsidRPr="00BB62B7">
        <w:rPr>
          <w:rFonts w:ascii="LinLibertine" w:eastAsia="Times New Roman" w:hAnsi="LinLibertine" w:cs="Times New Roman"/>
          <w:color w:val="000000"/>
          <w:sz w:val="30"/>
          <w:szCs w:val="30"/>
        </w:rPr>
        <w:fldChar w:fldCharType="end"/>
      </w:r>
    </w:p>
    <w:p w14:paraId="68F11B49" w14:textId="77777777" w:rsidR="0061791E" w:rsidRPr="00BB62B7" w:rsidRDefault="0061791E" w:rsidP="0061791E">
      <w:pPr>
        <w:spacing w:before="240" w:after="100" w:afterAutospacing="1"/>
        <w:rPr>
          <w:rFonts w:ascii="LinLibertine" w:eastAsia="Times New Roman" w:hAnsi="LinLibertine" w:cs="Times New Roman"/>
          <w:color w:val="000000"/>
          <w:sz w:val="27"/>
          <w:szCs w:val="27"/>
        </w:rPr>
      </w:pPr>
      <w:r w:rsidRPr="00BB62B7">
        <w:rPr>
          <w:rFonts w:ascii="LinLibertine" w:eastAsia="Times New Roman" w:hAnsi="LinLibertine" w:cs="Times New Roman"/>
          <w:i/>
          <w:iCs/>
          <w:color w:val="000000"/>
          <w:sz w:val="27"/>
          <w:szCs w:val="27"/>
        </w:rPr>
        <w:t>Source:</w:t>
      </w:r>
      <w:r w:rsidRPr="00BB62B7">
        <w:rPr>
          <w:rFonts w:ascii="LinLibertine" w:eastAsia="Times New Roman" w:hAnsi="LinLibertine" w:cs="Times New Roman"/>
          <w:color w:val="000000"/>
          <w:sz w:val="27"/>
          <w:szCs w:val="27"/>
        </w:rPr>
        <w:t> A. Jones 1996, </w:t>
      </w:r>
      <w:hyperlink r:id="rId38" w:anchor="ch03" w:history="1">
        <w:r w:rsidRPr="00BB62B7">
          <w:rPr>
            <w:rFonts w:ascii="LinLibertine" w:eastAsia="Times New Roman" w:hAnsi="LinLibertine" w:cs="Times New Roman"/>
            <w:color w:val="0000FF"/>
            <w:u w:val="single"/>
          </w:rPr>
          <w:t>Chapter 3</w:t>
        </w:r>
      </w:hyperlink>
      <w:r w:rsidRPr="00BB62B7">
        <w:rPr>
          <w:rFonts w:ascii="LinLibertine" w:eastAsia="Times New Roman" w:hAnsi="LinLibertine" w:cs="Times New Roman"/>
          <w:color w:val="000000"/>
          <w:sz w:val="27"/>
          <w:szCs w:val="27"/>
        </w:rPr>
        <w:t>.</w:t>
      </w:r>
    </w:p>
    <w:p w14:paraId="04B09C5C" w14:textId="77777777" w:rsidR="0061791E" w:rsidRPr="00BB62B7" w:rsidRDefault="0061791E" w:rsidP="0061791E">
      <w:pPr>
        <w:spacing w:after="120"/>
        <w:ind w:left="1128" w:hanging="1128"/>
        <w:rPr>
          <w:rFonts w:ascii="LinLibertine" w:eastAsia="Times New Roman" w:hAnsi="LinLibertine" w:cs="Times New Roman"/>
          <w:b/>
          <w:bCs/>
          <w:color w:val="000000"/>
          <w:sz w:val="27"/>
          <w:szCs w:val="27"/>
        </w:rPr>
      </w:pPr>
      <w:hyperlink r:id="rId39" w:anchor="R_15031-1034_ch024_Figure_003" w:history="1">
        <w:r w:rsidRPr="00BB62B7">
          <w:rPr>
            <w:rFonts w:ascii="LinLibertine" w:eastAsia="Times New Roman" w:hAnsi="LinLibertine" w:cs="Times New Roman"/>
            <w:color w:val="0000FF"/>
            <w:u w:val="single"/>
          </w:rPr>
          <w:t>Figure 24.3</w:t>
        </w:r>
        <w:r w:rsidRPr="00BB62B7">
          <w:rPr>
            <w:rFonts w:ascii="LinLibertine" w:eastAsia="Times New Roman" w:hAnsi="LinLibertine" w:cs="Times New Roman"/>
            <w:b/>
            <w:bCs/>
            <w:color w:val="0000FF"/>
            <w:u w:val="single"/>
          </w:rPr>
          <w:t> </w:t>
        </w:r>
        <w:r w:rsidRPr="00BB62B7">
          <w:rPr>
            <w:rFonts w:ascii="LinLibertine" w:eastAsia="Times New Roman" w:hAnsi="LinLibertine" w:cs="Times New Roman"/>
            <w:b/>
            <w:bCs/>
            <w:color w:val="0000FF"/>
            <w:u w:val="single"/>
          </w:rPr>
          <w:t>Ethnographic Fieldwork, Analysis, and Presentation Process</w:t>
        </w:r>
      </w:hyperlink>
    </w:p>
    <w:p w14:paraId="066B2AED" w14:textId="77777777" w:rsidR="0061791E" w:rsidRPr="00BB62B7" w:rsidRDefault="0061791E" w:rsidP="0061791E">
      <w:pPr>
        <w:jc w:val="center"/>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fldChar w:fldCharType="begin"/>
      </w:r>
      <w:r w:rsidRPr="00BB62B7">
        <w:rPr>
          <w:rFonts w:ascii="LinLibertine" w:eastAsia="Times New Roman" w:hAnsi="LinLibertine" w:cs="Times New Roman"/>
          <w:color w:val="000000"/>
          <w:sz w:val="30"/>
          <w:szCs w:val="30"/>
        </w:rPr>
        <w:instrText xml:space="preserve"> INCLUDEPICTURE "https://jigsaw.vitalsource.com/books/9781351721479/epub/OEBPS/Images/ch024_fig_003.jpg" \* MERGEFORMATINET </w:instrText>
      </w:r>
      <w:r w:rsidRPr="00BB62B7">
        <w:rPr>
          <w:rFonts w:ascii="LinLibertine" w:eastAsia="Times New Roman" w:hAnsi="LinLibertine" w:cs="Times New Roman"/>
          <w:color w:val="000000"/>
          <w:sz w:val="30"/>
          <w:szCs w:val="30"/>
        </w:rPr>
        <w:fldChar w:fldCharType="separate"/>
      </w:r>
      <w:r w:rsidRPr="00BB62B7">
        <w:rPr>
          <w:rFonts w:ascii="LinLibertine" w:eastAsia="Times New Roman" w:hAnsi="LinLibertine" w:cs="Times New Roman"/>
          <w:noProof/>
          <w:color w:val="000000"/>
          <w:sz w:val="30"/>
          <w:szCs w:val="30"/>
        </w:rPr>
        <mc:AlternateContent>
          <mc:Choice Requires="wps">
            <w:drawing>
              <wp:inline distT="0" distB="0" distL="0" distR="0" wp14:anchorId="6983B912" wp14:editId="7D5FD6F4">
                <wp:extent cx="302260" cy="302260"/>
                <wp:effectExtent l="0" t="0" r="0" b="0"/>
                <wp:docPr id="1" name="Rectangle 1" descr="Figure 2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E241F5" id="Rectangle 1" o:spid="_x0000_s1026" alt="Figure 24.3"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" filled="f" stroked="f">
                <o:lock v:ext="edit" aspectratio="t"/>
                <w10:anchorlock/>
              </v:rect>
            </w:pict>
          </mc:Fallback>
        </mc:AlternateContent>
      </w:r>
      <w:r w:rsidRPr="00BB62B7">
        <w:rPr>
          <w:rFonts w:ascii="LinLibertine" w:eastAsia="Times New Roman" w:hAnsi="LinLibertine" w:cs="Times New Roman"/>
          <w:color w:val="000000"/>
          <w:sz w:val="30"/>
          <w:szCs w:val="30"/>
        </w:rPr>
        <w:fldChar w:fldCharType="end"/>
      </w:r>
    </w:p>
    <w:p w14:paraId="585A6DBC" w14:textId="77777777" w:rsidR="0061791E" w:rsidRPr="00BB62B7" w:rsidRDefault="0061791E" w:rsidP="0061791E">
      <w:pPr>
        <w:spacing w:before="240" w:after="100" w:afterAutospacing="1"/>
        <w:rPr>
          <w:rFonts w:ascii="LinLibertine" w:eastAsia="Times New Roman" w:hAnsi="LinLibertine" w:cs="Times New Roman"/>
          <w:color w:val="000000"/>
          <w:sz w:val="27"/>
          <w:szCs w:val="27"/>
        </w:rPr>
      </w:pPr>
      <w:r w:rsidRPr="00BB62B7">
        <w:rPr>
          <w:rFonts w:ascii="LinLibertine" w:eastAsia="Times New Roman" w:hAnsi="LinLibertine" w:cs="Times New Roman"/>
          <w:i/>
          <w:iCs/>
          <w:color w:val="000000"/>
          <w:sz w:val="27"/>
          <w:szCs w:val="27"/>
        </w:rPr>
        <w:t>Source:</w:t>
      </w:r>
      <w:r w:rsidRPr="00BB62B7">
        <w:rPr>
          <w:rFonts w:ascii="LinLibertine" w:eastAsia="Times New Roman" w:hAnsi="LinLibertine" w:cs="Times New Roman"/>
          <w:color w:val="000000"/>
          <w:sz w:val="27"/>
          <w:szCs w:val="27"/>
        </w:rPr>
        <w:t> Russell A. Jones 1996.</w:t>
      </w:r>
    </w:p>
    <w:p w14:paraId="2030A283"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Ethnomethodology</w:t>
      </w:r>
    </w:p>
    <w:p w14:paraId="04D72D92"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i/>
          <w:iCs/>
          <w:color w:val="000000"/>
          <w:sz w:val="30"/>
          <w:szCs w:val="30"/>
        </w:rPr>
        <w:t>Ethnomethodology</w:t>
      </w:r>
      <w:r w:rsidRPr="00BB62B7">
        <w:rPr>
          <w:rFonts w:ascii="LinLibertine" w:eastAsia="Times New Roman" w:hAnsi="LinLibertine" w:cs="Times New Roman"/>
          <w:color w:val="000000"/>
          <w:sz w:val="30"/>
          <w:szCs w:val="30"/>
        </w:rPr>
        <w:t> has been defined by Neuman (2000) as “the study of commonsense knowledge” (348). It combines themes from sociology and philosophy and is usually seen as an application of </w:t>
      </w:r>
      <w:r w:rsidRPr="00BB62B7">
        <w:rPr>
          <w:rFonts w:ascii="LinLibertine" w:eastAsia="Times New Roman" w:hAnsi="LinLibertine" w:cs="Times New Roman"/>
          <w:i/>
          <w:iCs/>
          <w:color w:val="000000"/>
          <w:sz w:val="30"/>
          <w:szCs w:val="30"/>
        </w:rPr>
        <w:t>phenomenology</w:t>
      </w:r>
      <w:r w:rsidRPr="00BB62B7">
        <w:rPr>
          <w:rFonts w:ascii="LinLibertine" w:eastAsia="Times New Roman" w:hAnsi="LinLibertine" w:cs="Times New Roman"/>
          <w:color w:val="000000"/>
          <w:sz w:val="30"/>
          <w:szCs w:val="30"/>
        </w:rPr>
        <w:t> (Adler and Adler 1998). Researchers who follow this approach focus their concern on how people go about living their everyday lives. Ethnomethodologists study mundane, everyday behaviors in exceptionally close detail. They often use mechanical and electronic methods of recording the behavior of people. They then analyze in minute detail these audio- and videotapes, films, and other records, using what Adler and Adler (1998) have described as “an intricate notational system that allows (them) to view the conversational overlaps, pauses, and intonations to within one-tenth of a second … they have directed a particular emphasis toward conversation analysis” (99).</w:t>
      </w:r>
    </w:p>
    <w:p w14:paraId="4DFBF36F"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Community-Based Ethnography</w:t>
      </w:r>
    </w:p>
    <w:p w14:paraId="55B6C868"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i/>
          <w:iCs/>
          <w:color w:val="000000"/>
          <w:sz w:val="30"/>
          <w:szCs w:val="30"/>
        </w:rPr>
        <w:lastRenderedPageBreak/>
        <w:t>Community-based ethnography</w:t>
      </w:r>
      <w:r w:rsidRPr="00BB62B7">
        <w:rPr>
          <w:rFonts w:ascii="LinLibertine" w:eastAsia="Times New Roman" w:hAnsi="LinLibertine" w:cs="Times New Roman"/>
          <w:color w:val="000000"/>
          <w:sz w:val="30"/>
          <w:szCs w:val="30"/>
        </w:rPr>
        <w:t>, also known as community-based research (CBR), is closely associated with the critical approach known as </w:t>
      </w:r>
      <w:r w:rsidRPr="00BB62B7">
        <w:rPr>
          <w:rFonts w:ascii="LinLibertine" w:eastAsia="Times New Roman" w:hAnsi="LinLibertine" w:cs="Times New Roman"/>
          <w:i/>
          <w:iCs/>
          <w:color w:val="000000"/>
          <w:sz w:val="30"/>
          <w:szCs w:val="30"/>
        </w:rPr>
        <w:t>action research</w:t>
      </w:r>
      <w:r w:rsidRPr="00BB62B7">
        <w:rPr>
          <w:rFonts w:ascii="LinLibertine" w:eastAsia="Times New Roman" w:hAnsi="LinLibertine" w:cs="Times New Roman"/>
          <w:color w:val="000000"/>
          <w:sz w:val="30"/>
          <w:szCs w:val="30"/>
        </w:rPr>
        <w:t> (Stringer 1997) and has been used primarily in research in education. Stringer described the purpose of community-based research as a way of providing workers in professional and community groups with knowledge that is normally available only to academic researchers. As with all action research, CBR is designed to help people expand their knowledge and understanding of a situation so they can come up with effective solutions to the problems they face. Everyone—researcher and researched—is involved in the process. Stringer (1997) described CBR as:</w:t>
      </w:r>
    </w:p>
    <w:p w14:paraId="60332AE0"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[I]ntrinsically participatory; its products are not outsider accounts, portrayals, or reports, but collaborative accounts written from the emic—or insider—perspective of the group. Such accounts, grounded in hermeneutic, meaning-making processes of dialogue, negotiation, and consensus, provide the basis for group, community, or organization action. People can review their activities, develop plans, and resolve problems, initiate projects, or restructure an organization. (17, 18)</w:t>
      </w:r>
    </w:p>
    <w:p w14:paraId="2600BF33"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Ethological Methodology</w:t>
      </w:r>
    </w:p>
    <w:p w14:paraId="05B3C99E"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i/>
          <w:iCs/>
          <w:color w:val="000000"/>
          <w:sz w:val="30"/>
          <w:szCs w:val="30"/>
        </w:rPr>
        <w:t>Ethological</w:t>
      </w:r>
      <w:r w:rsidRPr="00BB62B7">
        <w:rPr>
          <w:rFonts w:ascii="LinLibertine" w:eastAsia="Times New Roman" w:hAnsi="LinLibertine" w:cs="Times New Roman"/>
          <w:color w:val="000000"/>
          <w:sz w:val="30"/>
          <w:szCs w:val="30"/>
        </w:rPr>
        <w:t> research addresses many of the same issues addressed by traditional ethnography. Initially, the method focused primarily on animal behavior—Charles Darwin, for example, is considered one of the pioneers in this field of research. Today, this approach is often used in organizational research, where it is employed for identifying and describing behavior in social settings.</w:t>
      </w:r>
    </w:p>
    <w:p w14:paraId="5D4A6DD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approach taken in an ethology study involves </w:t>
      </w:r>
      <w:r w:rsidRPr="00BB62B7">
        <w:rPr>
          <w:rFonts w:ascii="LinLibertine" w:eastAsia="Times New Roman" w:hAnsi="LinLibertine" w:cs="Times New Roman"/>
          <w:i/>
          <w:iCs/>
          <w:color w:val="000000"/>
          <w:sz w:val="30"/>
          <w:szCs w:val="30"/>
        </w:rPr>
        <w:t>simple observation</w:t>
      </w:r>
      <w:r w:rsidRPr="00BB62B7">
        <w:rPr>
          <w:rFonts w:ascii="LinLibertine" w:eastAsia="Times New Roman" w:hAnsi="LinLibertine" w:cs="Times New Roman"/>
          <w:color w:val="000000"/>
          <w:sz w:val="30"/>
          <w:szCs w:val="30"/>
        </w:rPr>
        <w:t>, which can be either visible or hidden (unobtrusive). Organ and Bateman (1991), discussing ethologic observation in the context of organizational behavior research, referred to the method as </w:t>
      </w:r>
      <w:r w:rsidRPr="00BB62B7">
        <w:rPr>
          <w:rFonts w:ascii="LinLibertine" w:eastAsia="Times New Roman" w:hAnsi="LinLibertine" w:cs="Times New Roman"/>
          <w:i/>
          <w:iCs/>
          <w:color w:val="000000"/>
          <w:sz w:val="30"/>
          <w:szCs w:val="30"/>
        </w:rPr>
        <w:t>naturalistic observation</w:t>
      </w:r>
      <w:r w:rsidRPr="00BB62B7">
        <w:rPr>
          <w:rFonts w:ascii="LinLibertine" w:eastAsia="Times New Roman" w:hAnsi="LinLibertine" w:cs="Times New Roman"/>
          <w:color w:val="000000"/>
          <w:sz w:val="30"/>
          <w:szCs w:val="30"/>
        </w:rPr>
        <w:t>. They identified a number of appealing characteristics, as well as some of the shortcomings, for this approach. Possibly the most important advantage is what Organ and Bateman (1991) called the </w:t>
      </w:r>
      <w:r w:rsidRPr="00BB62B7">
        <w:rPr>
          <w:rFonts w:ascii="LinLibertine" w:eastAsia="Times New Roman" w:hAnsi="LinLibertine" w:cs="Times New Roman"/>
          <w:i/>
          <w:iCs/>
          <w:color w:val="000000"/>
          <w:sz w:val="30"/>
          <w:szCs w:val="30"/>
        </w:rPr>
        <w:t>contextual richness</w:t>
      </w:r>
      <w:r w:rsidRPr="00BB62B7">
        <w:rPr>
          <w:rFonts w:ascii="LinLibertine" w:eastAsia="Times New Roman" w:hAnsi="LinLibertine" w:cs="Times New Roman"/>
          <w:color w:val="000000"/>
          <w:sz w:val="30"/>
          <w:szCs w:val="30"/>
        </w:rPr>
        <w:t> that is possible with observation (36). This includes more than the thick description that characterizes ethnographic field notes. It also refers to the fact that this type of research has enjoyed wide acceptance over the years, with results published in many articles, books, autobiographies, newspaper stories, conversations, and speeches.</w:t>
      </w:r>
    </w:p>
    <w:p w14:paraId="0B63C658"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lastRenderedPageBreak/>
        <w:t>In addition to this extensive body of available literature, the natural experience that researchers gain from working in and dealing with organizations of all types, sizes, and purposes is also an advantage. This is what is referred to as the </w:t>
      </w:r>
      <w:r w:rsidRPr="00BB62B7">
        <w:rPr>
          <w:rFonts w:ascii="LinLibertine" w:eastAsia="Times New Roman" w:hAnsi="LinLibertine" w:cs="Times New Roman"/>
          <w:i/>
          <w:iCs/>
          <w:color w:val="000000"/>
          <w:sz w:val="30"/>
          <w:szCs w:val="30"/>
        </w:rPr>
        <w:t>richness in personal insight</w:t>
      </w:r>
      <w:r w:rsidRPr="00BB62B7">
        <w:rPr>
          <w:rFonts w:ascii="LinLibertine" w:eastAsia="Times New Roman" w:hAnsi="LinLibertine" w:cs="Times New Roman"/>
          <w:color w:val="000000"/>
          <w:sz w:val="30"/>
          <w:szCs w:val="30"/>
        </w:rPr>
        <w:t> of naturalistic observation in organizational research. Organ and Bateman (1991) concluded their critique of the method this way:</w:t>
      </w:r>
    </w:p>
    <w:p w14:paraId="0DBCC22A"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[Simple] observation is an attractive method of research because it confronts its subject head-on. It deals with raw, real-world behavior. Because the data are rich with the drama of human existence, it is easy to relate to accounts of these studies. (37)</w:t>
      </w:r>
    </w:p>
    <w:p w14:paraId="1D716E79"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major disadvantage of observation is that it often results in a report bias that is traceable to people’s natural tendency to exercise </w:t>
      </w:r>
      <w:r w:rsidRPr="00BB62B7">
        <w:rPr>
          <w:rFonts w:ascii="LinLibertine" w:eastAsia="Times New Roman" w:hAnsi="LinLibertine" w:cs="Times New Roman"/>
          <w:i/>
          <w:iCs/>
          <w:color w:val="000000"/>
          <w:sz w:val="30"/>
          <w:szCs w:val="30"/>
        </w:rPr>
        <w:t>selective perception</w:t>
      </w:r>
      <w:r w:rsidRPr="00BB62B7">
        <w:rPr>
          <w:rFonts w:ascii="LinLibertine" w:eastAsia="Times New Roman" w:hAnsi="LinLibertine" w:cs="Times New Roman"/>
          <w:color w:val="000000"/>
          <w:sz w:val="30"/>
          <w:szCs w:val="30"/>
        </w:rPr>
        <w:t> and </w:t>
      </w:r>
      <w:r w:rsidRPr="00BB62B7">
        <w:rPr>
          <w:rFonts w:ascii="LinLibertine" w:eastAsia="Times New Roman" w:hAnsi="LinLibertine" w:cs="Times New Roman"/>
          <w:i/>
          <w:iCs/>
          <w:color w:val="000000"/>
          <w:sz w:val="30"/>
          <w:szCs w:val="30"/>
        </w:rPr>
        <w:t>selective retention</w:t>
      </w:r>
      <w:r w:rsidRPr="00BB62B7">
        <w:rPr>
          <w:rFonts w:ascii="LinLibertine" w:eastAsia="Times New Roman" w:hAnsi="LinLibertine" w:cs="Times New Roman"/>
          <w:color w:val="000000"/>
          <w:sz w:val="30"/>
          <w:szCs w:val="30"/>
        </w:rPr>
        <w:t>. Selective perception means that from all the myriad stimuli that people encounter, they see what they want to see, what they are interested in, what they think is important. Whether they do so consciously or unconsciously, people ignore much of what else goes on.</w:t>
      </w:r>
    </w:p>
    <w:p w14:paraId="23A7C7B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This idea has been suggested by a number of different investigators. John Dewey, for example, noted that human perception is never “neutral.” Rather, human knowledge and intelligence, what we think of as </w:t>
      </w:r>
      <w:r w:rsidRPr="00BB62B7">
        <w:rPr>
          <w:rFonts w:ascii="LinLibertine" w:eastAsia="Times New Roman" w:hAnsi="LinLibertine" w:cs="Times New Roman"/>
          <w:i/>
          <w:iCs/>
          <w:color w:val="000000"/>
          <w:sz w:val="30"/>
          <w:szCs w:val="30"/>
        </w:rPr>
        <w:t>past experience</w:t>
      </w:r>
      <w:r w:rsidRPr="00BB62B7">
        <w:rPr>
          <w:rFonts w:ascii="LinLibertine" w:eastAsia="Times New Roman" w:hAnsi="LinLibertine" w:cs="Times New Roman"/>
          <w:color w:val="000000"/>
          <w:sz w:val="30"/>
          <w:szCs w:val="30"/>
        </w:rPr>
        <w:t>, always influences perception. Furthermore, judgment is involved in all perception.</w:t>
      </w:r>
    </w:p>
    <w:p w14:paraId="76A4797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It is long been suggested that the theories, hypotheses, frameworks, and background knowledge held by researchers have the power to unconsciously influence everything that is observed (Hanson 1958). This suggests that observation cannot have a neutral foundation. </w:t>
      </w:r>
      <w:r w:rsidRPr="00BB62B7">
        <w:rPr>
          <w:rFonts w:ascii="LinLibertine" w:eastAsia="Times New Roman" w:hAnsi="LinLibertine" w:cs="Times New Roman"/>
          <w:i/>
          <w:iCs/>
          <w:color w:val="000000"/>
          <w:sz w:val="30"/>
          <w:szCs w:val="30"/>
        </w:rPr>
        <w:t>Selective retention</w:t>
      </w:r>
      <w:r w:rsidRPr="00BB62B7">
        <w:rPr>
          <w:rFonts w:ascii="LinLibertine" w:eastAsia="Times New Roman" w:hAnsi="LinLibertine" w:cs="Times New Roman"/>
          <w:color w:val="000000"/>
          <w:sz w:val="30"/>
          <w:szCs w:val="30"/>
        </w:rPr>
        <w:t> means that people usually remember what they </w:t>
      </w:r>
      <w:r w:rsidRPr="00BB62B7">
        <w:rPr>
          <w:rFonts w:ascii="LinLibertine" w:eastAsia="Times New Roman" w:hAnsi="LinLibertine" w:cs="Times New Roman"/>
          <w:i/>
          <w:iCs/>
          <w:color w:val="000000"/>
          <w:sz w:val="30"/>
          <w:szCs w:val="30"/>
        </w:rPr>
        <w:t>think</w:t>
      </w:r>
      <w:r w:rsidRPr="00BB62B7">
        <w:rPr>
          <w:rFonts w:ascii="LinLibertine" w:eastAsia="Times New Roman" w:hAnsi="LinLibertine" w:cs="Times New Roman"/>
          <w:color w:val="000000"/>
          <w:sz w:val="30"/>
          <w:szCs w:val="30"/>
        </w:rPr>
        <w:t> was said, what they </w:t>
      </w:r>
      <w:r w:rsidRPr="00BB62B7">
        <w:rPr>
          <w:rFonts w:ascii="LinLibertine" w:eastAsia="Times New Roman" w:hAnsi="LinLibertine" w:cs="Times New Roman"/>
          <w:i/>
          <w:iCs/>
          <w:color w:val="000000"/>
          <w:sz w:val="30"/>
          <w:szCs w:val="30"/>
        </w:rPr>
        <w:t>wanted</w:t>
      </w:r>
      <w:r w:rsidRPr="00BB62B7">
        <w:rPr>
          <w:rFonts w:ascii="LinLibertine" w:eastAsia="Times New Roman" w:hAnsi="LinLibertine" w:cs="Times New Roman"/>
          <w:color w:val="000000"/>
          <w:sz w:val="30"/>
          <w:szCs w:val="30"/>
        </w:rPr>
        <w:t> to hear, what they </w:t>
      </w:r>
      <w:r w:rsidRPr="00BB62B7">
        <w:rPr>
          <w:rFonts w:ascii="LinLibertine" w:eastAsia="Times New Roman" w:hAnsi="LinLibertine" w:cs="Times New Roman"/>
          <w:i/>
          <w:iCs/>
          <w:color w:val="000000"/>
          <w:sz w:val="30"/>
          <w:szCs w:val="30"/>
        </w:rPr>
        <w:t>believe</w:t>
      </w:r>
      <w:r w:rsidRPr="00BB62B7">
        <w:rPr>
          <w:rFonts w:ascii="LinLibertine" w:eastAsia="Times New Roman" w:hAnsi="LinLibertine" w:cs="Times New Roman"/>
          <w:color w:val="000000"/>
          <w:sz w:val="30"/>
          <w:szCs w:val="30"/>
        </w:rPr>
        <w:t> occurred, or what fits within their personal framing of the issue. Hence, what researchers remember will always be inherently subjective; it can never be considered the “truth.”</w:t>
      </w:r>
    </w:p>
    <w:p w14:paraId="1ED48B7F"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Because observation is recorded as the field notes of one or more researchers, it will always contain what the researcher </w:t>
      </w:r>
      <w:r w:rsidRPr="00BB62B7">
        <w:rPr>
          <w:rFonts w:ascii="LinLibertine" w:eastAsia="Times New Roman" w:hAnsi="LinLibertine" w:cs="Times New Roman"/>
          <w:i/>
          <w:iCs/>
          <w:color w:val="000000"/>
          <w:sz w:val="30"/>
          <w:szCs w:val="30"/>
        </w:rPr>
        <w:t>feels</w:t>
      </w:r>
      <w:r w:rsidRPr="00BB62B7">
        <w:rPr>
          <w:rFonts w:ascii="LinLibertine" w:eastAsia="Times New Roman" w:hAnsi="LinLibertine" w:cs="Times New Roman"/>
          <w:color w:val="000000"/>
          <w:sz w:val="30"/>
          <w:szCs w:val="30"/>
        </w:rPr>
        <w:t xml:space="preserve"> is important. Field notes will often omit what the researcher believes to be trivial or unimportant. We are all drawn to the dramatic or exciting in situations—it makes for interesting reading, even when it has little or no bearing on the central issue. Both field notes and the material that is eventually included in a report pass through a filter formed from the perceptions and memory of events held by the researcher. Therefore, </w:t>
      </w:r>
      <w:r w:rsidRPr="00BB62B7">
        <w:rPr>
          <w:rFonts w:ascii="LinLibertine" w:eastAsia="Times New Roman" w:hAnsi="LinLibertine" w:cs="Times New Roman"/>
          <w:color w:val="000000"/>
          <w:sz w:val="30"/>
          <w:szCs w:val="30"/>
        </w:rPr>
        <w:lastRenderedPageBreak/>
        <w:t>researchers must always struggle with the answerable question: Would another observer have drawn the same conclusion from these events? Researchers use thick description in an attempt to provide an answer.</w:t>
      </w:r>
    </w:p>
    <w:p w14:paraId="5AF842B4" w14:textId="77777777" w:rsidR="0061791E" w:rsidRPr="00BB62B7" w:rsidRDefault="0061791E" w:rsidP="0061791E">
      <w:pPr>
        <w:spacing w:before="240" w:after="240" w:line="468" w:lineRule="atLeast"/>
        <w:outlineLvl w:val="3"/>
        <w:rPr>
          <w:rFonts w:ascii="LinLibertine" w:eastAsia="Times New Roman" w:hAnsi="LinLibertine" w:cs="Times New Roman"/>
          <w:i/>
          <w:iCs/>
          <w:color w:val="000000"/>
          <w:sz w:val="36"/>
          <w:szCs w:val="36"/>
        </w:rPr>
      </w:pPr>
      <w:r w:rsidRPr="00BB62B7">
        <w:rPr>
          <w:rFonts w:ascii="LinLibertine" w:eastAsia="Times New Roman" w:hAnsi="LinLibertine" w:cs="Times New Roman"/>
          <w:i/>
          <w:iCs/>
          <w:color w:val="000000"/>
          <w:sz w:val="36"/>
          <w:szCs w:val="36"/>
        </w:rPr>
        <w:t>Ethology and Simple Observation</w:t>
      </w:r>
    </w:p>
    <w:p w14:paraId="0123DCBE"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 key objective for all research in ethnography and ethology is the study of behavior in social groups. Ethnography involves participant observation in which the researcher becomes immersed in the group under study. For the ethologist, however, the process is not participatory. Rather, the researcher simply observes and records what is taking place. As noted earlier, although ethology is primarily concerned with the study of the behavior of animals in their natural and manipulated environments, it often deals with the behavior of humans.</w:t>
      </w:r>
    </w:p>
    <w:p w14:paraId="57D82755"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Ethologists employ simple observation in their studies, and they often conduct controlled behavioral experiments with animals and human beings. As a nonparticipating observer, the researcher is always an outsider who is on hand simply to record what is seen and who never becomes a member of the group under study. The reports of ethologists tend to be primarily descriptive or explanatory, and they do not involve interpretation of the observed social setting.</w:t>
      </w:r>
    </w:p>
    <w:p w14:paraId="1A69DE92"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0" w:anchor="R_15031-1034_h1_ch024_003" w:history="1">
        <w:r w:rsidRPr="00BB62B7">
          <w:rPr>
            <w:rFonts w:ascii="LinLibertine" w:eastAsia="Times New Roman" w:hAnsi="LinLibertine" w:cs="Times New Roman"/>
            <w:b/>
            <w:bCs/>
            <w:color w:val="0000FF"/>
            <w:sz w:val="45"/>
            <w:szCs w:val="45"/>
            <w:u w:val="single"/>
          </w:rPr>
          <w:t>Ethnographic Fieldwork</w:t>
        </w:r>
      </w:hyperlink>
    </w:p>
    <w:p w14:paraId="6A8C3B30"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All variations of ethnography involve fieldwork. </w:t>
      </w:r>
      <w:r w:rsidRPr="00BB62B7">
        <w:rPr>
          <w:rFonts w:ascii="LinLibertine" w:eastAsia="Times New Roman" w:hAnsi="LinLibertine" w:cs="Times New Roman"/>
          <w:i/>
          <w:iCs/>
          <w:color w:val="000000"/>
          <w:sz w:val="30"/>
          <w:szCs w:val="30"/>
        </w:rPr>
        <w:t>Ethnographic fieldwork</w:t>
      </w:r>
      <w:r w:rsidRPr="00BB62B7">
        <w:rPr>
          <w:rFonts w:ascii="LinLibertine" w:eastAsia="Times New Roman" w:hAnsi="LinLibertine" w:cs="Times New Roman"/>
          <w:color w:val="000000"/>
          <w:sz w:val="30"/>
          <w:szCs w:val="30"/>
        </w:rPr>
        <w:t> includes such activities as (1) engaging in participant observation, (2) collecting genealogies, (3) recording conversations, (4) writing field notes, (5) interpreting the findings, and (6) writing up the field notes and interpretations as reports. Field notes describe events, incidents that catch the researcher’s eye, in addition to anything and everything that is deemed relevant to the study at hand at the moment it occurs.</w:t>
      </w:r>
    </w:p>
    <w:p w14:paraId="20C78A77"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According to Fetterman (2010), fieldwork is the key activity in all ethnographic research designs. The basic concepts of anthropology, the methods and techniques of collecting data, and data analysis are the fundamental elements of “doing ethnography.” The selection of methods and equipment to use—including tape recorders, videotaping, and actual interviewing—is a major decision in fieldwork. Fetterman (2010) noted that “this process [occurs] through analysis at various stages in ethnographic work—in field notes, memoranda, and interim </w:t>
      </w:r>
      <w:r w:rsidRPr="00BB62B7">
        <w:rPr>
          <w:rFonts w:ascii="LinLibertine" w:eastAsia="Times New Roman" w:hAnsi="LinLibertine" w:cs="Times New Roman"/>
          <w:color w:val="000000"/>
          <w:sz w:val="30"/>
          <w:szCs w:val="30"/>
        </w:rPr>
        <w:lastRenderedPageBreak/>
        <w:t>reports, but most dramatically in the published report, article, or book” (12).</w:t>
      </w:r>
    </w:p>
    <w:p w14:paraId="2217AB88"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Anthropologists and sociologists who study cultures firsthand have determined that the best way to do their fieldwork is with the process of participant observation. The early ethnographic researchers chose this method for their preferred way to function in the field for many reasons. One was the great distances they often had to travel to reach the study society. Therefore, they were forced to spend longer periods with the groups under study simply to justify the cost of the trip and the physical hardship they endured. Living for long periods of time in the primitive community, sometimes in the same huts or shelters of the members of the society under study, they were forced into being participants to survive—let alone understand what they were observing.</w:t>
      </w:r>
    </w:p>
    <w:p w14:paraId="011C5202"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Bernard (2000) pointed out that participant observation requires researchers to get close to people, making them comfortable enough to permit the researcher to observe and record observations about their lives. Establishing rapport with people in the new community means learning how to act in such a way the people go about their day-to-day business when the researcher appears. Possibly most important, it means being able to retreat from the group-member role to think about what has been learned and convincingly write about it.</w:t>
      </w:r>
    </w:p>
    <w:p w14:paraId="3682C2C9"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 reason for the evolution of ethnography from its former exclusive application to primitive cultures to now include research in today’s settings was simply the long period of time needed to manually collect ethnographic information. Ethnographies are built on a combination of observations and extensive interviewing (Whiting and Whiting 1973), and these take time. Observation, regardless of the society or culture upon which it is focused, can be directed toward many different topics of investigation.</w:t>
      </w:r>
    </w:p>
    <w:p w14:paraId="51776B5E"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Whiting and Whiting (1973) identified six subjects of potential focus for research: (1) an activity of some kind, (2) a larger category of acts, such as gang behavior, (3) an object or person that is the center of attention for a larger group of persons, (4) a person that functions as a representative of a status category, (5) a pair of individuals (a </w:t>
      </w:r>
      <w:r w:rsidRPr="00BB62B7">
        <w:rPr>
          <w:rFonts w:ascii="LinLibertine" w:eastAsia="Times New Roman" w:hAnsi="LinLibertine" w:cs="Times New Roman"/>
          <w:i/>
          <w:iCs/>
          <w:color w:val="000000"/>
          <w:sz w:val="30"/>
          <w:szCs w:val="30"/>
        </w:rPr>
        <w:t>dyad</w:t>
      </w:r>
      <w:r w:rsidRPr="00BB62B7">
        <w:rPr>
          <w:rFonts w:ascii="LinLibertine" w:eastAsia="Times New Roman" w:hAnsi="LinLibertine" w:cs="Times New Roman"/>
          <w:color w:val="000000"/>
          <w:sz w:val="30"/>
          <w:szCs w:val="30"/>
        </w:rPr>
        <w:t>), or (6) a setting for a social event.</w:t>
      </w:r>
    </w:p>
    <w:p w14:paraId="6D5ECBFD"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1" w:anchor="R_15031-1034_h1_ch024_004" w:history="1">
        <w:r w:rsidRPr="00BB62B7">
          <w:rPr>
            <w:rFonts w:ascii="LinLibertine" w:eastAsia="Times New Roman" w:hAnsi="LinLibertine" w:cs="Times New Roman"/>
            <w:b/>
            <w:bCs/>
            <w:color w:val="0000FF"/>
            <w:sz w:val="45"/>
            <w:szCs w:val="45"/>
            <w:u w:val="single"/>
          </w:rPr>
          <w:t>Ethnography in Public Administration Research</w:t>
        </w:r>
      </w:hyperlink>
    </w:p>
    <w:p w14:paraId="68C496C1"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When public administration evolved into an academic discipline during the early decades of the twentieth century, its own journals, professional associations, conferences, and academic departments soon followed. Bits and pieces from all the social and behavioral sciences were incorporated into its structure—and its research methodology. It is important to remember that </w:t>
      </w:r>
      <w:r w:rsidRPr="00BB62B7">
        <w:rPr>
          <w:rFonts w:ascii="LinLibertine" w:eastAsia="Times New Roman" w:hAnsi="LinLibertine" w:cs="Times New Roman"/>
          <w:i/>
          <w:iCs/>
          <w:color w:val="000000"/>
          <w:sz w:val="30"/>
          <w:szCs w:val="30"/>
        </w:rPr>
        <w:t>all</w:t>
      </w:r>
      <w:r w:rsidRPr="00BB62B7">
        <w:rPr>
          <w:rFonts w:ascii="LinLibertine" w:eastAsia="Times New Roman" w:hAnsi="LinLibertine" w:cs="Times New Roman"/>
          <w:color w:val="000000"/>
          <w:sz w:val="30"/>
          <w:szCs w:val="30"/>
        </w:rPr>
        <w:t> the tools and methods used in public administration research were invented for other purposes. Sociology, anthropology, archeology, philosophy, economics, and business administration all have contributed to the lexicon of public administration research methods.</w:t>
      </w:r>
    </w:p>
    <w:p w14:paraId="58D84F0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Ethnography has become one of the most widely applied qualitative research methods in public administration. It has been shown to be a valuable tool for gathering information about behaviors embedded in and specific to cultures and subcultures. It was often used to identify administrative options for making decisions on matters of public policy. Fetterman (2010) defined the method and its focus this way:</w:t>
      </w:r>
    </w:p>
    <w:p w14:paraId="7D5D262B"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Ethnography is the art and science of describing a group or culture. The description may be of a small tribal group in some exotic land or a classroom in middle-class suburbia. [The] ethnographer writes about the routine, daily lives of people. The more predictable patterns of human thought and behavior are the focus of inquiry. (11)</w:t>
      </w:r>
    </w:p>
    <w:p w14:paraId="798E4344"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methods are used in public administration to analyze and diagnose the </w:t>
      </w:r>
      <w:r w:rsidRPr="00BB62B7">
        <w:rPr>
          <w:rFonts w:ascii="LinLibertine" w:eastAsia="Times New Roman" w:hAnsi="LinLibertine" w:cs="Times New Roman"/>
          <w:i/>
          <w:iCs/>
          <w:color w:val="000000"/>
          <w:sz w:val="30"/>
          <w:szCs w:val="30"/>
        </w:rPr>
        <w:t>culture</w:t>
      </w:r>
      <w:r w:rsidRPr="00BB62B7">
        <w:rPr>
          <w:rFonts w:ascii="LinLibertine" w:eastAsia="Times New Roman" w:hAnsi="LinLibertine" w:cs="Times New Roman"/>
          <w:color w:val="000000"/>
          <w:sz w:val="30"/>
          <w:szCs w:val="30"/>
        </w:rPr>
        <w:t> and </w:t>
      </w:r>
      <w:r w:rsidRPr="00BB62B7">
        <w:rPr>
          <w:rFonts w:ascii="LinLibertine" w:eastAsia="Times New Roman" w:hAnsi="LinLibertine" w:cs="Times New Roman"/>
          <w:i/>
          <w:iCs/>
          <w:color w:val="000000"/>
          <w:sz w:val="30"/>
          <w:szCs w:val="30"/>
        </w:rPr>
        <w:t>operating climate</w:t>
      </w:r>
      <w:r w:rsidRPr="00BB62B7">
        <w:rPr>
          <w:rFonts w:ascii="LinLibertine" w:eastAsia="Times New Roman" w:hAnsi="LinLibertine" w:cs="Times New Roman"/>
          <w:color w:val="000000"/>
          <w:sz w:val="30"/>
          <w:szCs w:val="30"/>
        </w:rPr>
        <w:t> of organizations (Wilson 1989; Schein 1992). In this application, the purpose of the research is to improve the </w:t>
      </w:r>
      <w:r w:rsidRPr="00BB62B7">
        <w:rPr>
          <w:rFonts w:ascii="LinLibertine" w:eastAsia="Times New Roman" w:hAnsi="LinLibertine" w:cs="Times New Roman"/>
          <w:i/>
          <w:iCs/>
          <w:color w:val="000000"/>
          <w:sz w:val="30"/>
          <w:szCs w:val="30"/>
        </w:rPr>
        <w:t>practice</w:t>
      </w:r>
      <w:r w:rsidRPr="00BB62B7">
        <w:rPr>
          <w:rFonts w:ascii="LinLibertine" w:eastAsia="Times New Roman" w:hAnsi="LinLibertine" w:cs="Times New Roman"/>
          <w:color w:val="000000"/>
          <w:sz w:val="30"/>
          <w:szCs w:val="30"/>
        </w:rPr>
        <w:t> of administration in the public sector, while ethnographic research is a way of acquiring the information that makes such improvement possible.</w:t>
      </w:r>
    </w:p>
    <w:p w14:paraId="61B78D73"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Yeager (1989) has described participant observation as an “old and widely used research method both in public administration and in other fields of study” (724). In public administration use today, it incorporates many different techniques, including simple, group, and unobtrusive observations, depth-interviewing key informants, ethnography, and controlled observation techniques.</w:t>
      </w:r>
    </w:p>
    <w:p w14:paraId="59BA5775" w14:textId="77777777" w:rsidR="0061791E" w:rsidRPr="00BB62B7" w:rsidRDefault="0061791E" w:rsidP="0061791E">
      <w:pPr>
        <w:spacing w:line="351" w:lineRule="atLeast"/>
        <w:jc w:val="both"/>
        <w:rPr>
          <w:rFonts w:ascii="LinLibertine" w:eastAsia="Times New Roman" w:hAnsi="LinLibertine" w:cs="Times New Roman"/>
          <w:color w:val="000000"/>
          <w:sz w:val="27"/>
          <w:szCs w:val="27"/>
        </w:rPr>
      </w:pPr>
      <w:r w:rsidRPr="00BB62B7">
        <w:rPr>
          <w:rFonts w:ascii="LinLibertine" w:eastAsia="Times New Roman" w:hAnsi="LinLibertine" w:cs="Times New Roman"/>
          <w:color w:val="000000"/>
          <w:sz w:val="27"/>
          <w:szCs w:val="27"/>
        </w:rPr>
        <w:t xml:space="preserve">Participant observation includes material that the observer gains directly from personally seeing or hearing an event occur. Often the participant observer </w:t>
      </w:r>
      <w:r w:rsidRPr="00BB62B7">
        <w:rPr>
          <w:rFonts w:ascii="LinLibertine" w:eastAsia="Times New Roman" w:hAnsi="LinLibertine" w:cs="Times New Roman"/>
          <w:color w:val="000000"/>
          <w:sz w:val="27"/>
          <w:szCs w:val="27"/>
        </w:rPr>
        <w:lastRenderedPageBreak/>
        <w:t>establishes personal relationships with subjects and maintains those relationships over a period of time… . Rapport and trust are established with subjects to a far greater extent than in other methods. Typically, more exhaustive data are gathered on fewer subjects using participant observation than with other methods. (Yeager 1989, 724)</w:t>
      </w:r>
    </w:p>
    <w:p w14:paraId="5CBA05CF"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In public administration, the once-traditional activity of spending long periods in the field is neither possible nor desirable because it is not considered to be worth the cost. Rather, the most important part of fieldwork is simply “being there” to observe, ask questions, and write down what is heard and seen (Fetterman 2010). Participant observation, like ethnography, has changed from its original concept of total immersion in a society under study to include new and different topics and locations of study in addition to a wide variety of data-gathering tools and techniques.</w:t>
      </w:r>
    </w:p>
    <w:p w14:paraId="677DBC0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As ethnography moved beyond its original focus on describing small, distant, and primitive societies or examining the social disruption that was rooted in communities undergoing industrialization, it was used to study groups in locations that its founders would never have considered. One of these is the modern city. All facets of urban life are now considered to be legitimate targets of ethnographic research for contributing to the establishment of public policy. Studies have ranged from the public behaviors of individuals who are gay or lesbian, people who live in ghettos, drug cultures, the urban poor and homeless, schoolchildren, and many other participants. There is apparently no limit to what studies can or should be carried out using an ethnographic approach.</w:t>
      </w:r>
    </w:p>
    <w:p w14:paraId="5DA32C9C"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Urbanism Studies</w:t>
      </w:r>
    </w:p>
    <w:p w14:paraId="57F3553B"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According to Fox (1977), urban anthropologists take several different directions: the anthropology of </w:t>
      </w:r>
      <w:r w:rsidRPr="00BB62B7">
        <w:rPr>
          <w:rFonts w:ascii="LinLibertine" w:eastAsia="Times New Roman" w:hAnsi="LinLibertine" w:cs="Times New Roman"/>
          <w:i/>
          <w:iCs/>
          <w:color w:val="000000"/>
          <w:sz w:val="30"/>
          <w:szCs w:val="30"/>
        </w:rPr>
        <w:t>urbanism</w:t>
      </w:r>
      <w:r w:rsidRPr="00BB62B7">
        <w:rPr>
          <w:rFonts w:ascii="LinLibertine" w:eastAsia="Times New Roman" w:hAnsi="LinLibertine" w:cs="Times New Roman"/>
          <w:color w:val="000000"/>
          <w:sz w:val="30"/>
          <w:szCs w:val="30"/>
        </w:rPr>
        <w:t>, the anthropology of </w:t>
      </w:r>
      <w:r w:rsidRPr="00BB62B7">
        <w:rPr>
          <w:rFonts w:ascii="LinLibertine" w:eastAsia="Times New Roman" w:hAnsi="LinLibertine" w:cs="Times New Roman"/>
          <w:i/>
          <w:iCs/>
          <w:color w:val="000000"/>
          <w:sz w:val="30"/>
          <w:szCs w:val="30"/>
        </w:rPr>
        <w:t>poverty in urban settings</w:t>
      </w:r>
      <w:r w:rsidRPr="00BB62B7">
        <w:rPr>
          <w:rFonts w:ascii="LinLibertine" w:eastAsia="Times New Roman" w:hAnsi="LinLibertine" w:cs="Times New Roman"/>
          <w:color w:val="000000"/>
          <w:sz w:val="30"/>
          <w:szCs w:val="30"/>
        </w:rPr>
        <w:t>, and the anthropology of </w:t>
      </w:r>
      <w:r w:rsidRPr="00BB62B7">
        <w:rPr>
          <w:rFonts w:ascii="LinLibertine" w:eastAsia="Times New Roman" w:hAnsi="LinLibertine" w:cs="Times New Roman"/>
          <w:i/>
          <w:iCs/>
          <w:color w:val="000000"/>
          <w:sz w:val="30"/>
          <w:szCs w:val="30"/>
        </w:rPr>
        <w:t>urbanization</w:t>
      </w:r>
      <w:r w:rsidRPr="00BB62B7">
        <w:rPr>
          <w:rFonts w:ascii="LinLibertine" w:eastAsia="Times New Roman" w:hAnsi="LinLibertine" w:cs="Times New Roman"/>
          <w:color w:val="000000"/>
          <w:sz w:val="30"/>
          <w:szCs w:val="30"/>
        </w:rPr>
        <w:t>. Despite their differences, they all appear to have the following principals in common. First, there is near-unanimous agreement among urban anthropologists that cities are important locations for research. Second, they are convinced that anthropology can make “important methodological and theoretical contributions to the study of urban place” (Fox 1977, 9).</w:t>
      </w:r>
    </w:p>
    <w:p w14:paraId="2D199C3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Studies in the ethnology of urbanism are concerned with how movement from rural to urban locations has affected individuals, </w:t>
      </w:r>
      <w:r w:rsidRPr="00BB62B7">
        <w:rPr>
          <w:rFonts w:ascii="LinLibertine" w:eastAsia="Times New Roman" w:hAnsi="LinLibertine" w:cs="Times New Roman"/>
          <w:color w:val="000000"/>
          <w:sz w:val="30"/>
          <w:szCs w:val="30"/>
        </w:rPr>
        <w:lastRenderedPageBreak/>
        <w:t>families, and larger groups. These major social movements are seldom seen in the industrialized West; researchers studying the rural–urban phenomenon today are more likely to focus their attentions on such locations as India, Southeast Asia, South and Central America, and other third-world regions.</w:t>
      </w:r>
    </w:p>
    <w:p w14:paraId="4A8BA7E7"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 example of this type of modern ethnographic study is Narotzky’s (2000) research with a small population in the rural Vega Baja del Segura district of Valencia. Narotzky conducted intensive fieldwork in a town of about 5,000 residents. The region is an irrigated plain with a mix of agricultural and industrial economic activities, with the greater contribution now coming from the shoemaking industry. Large shoe factories were established in the region during the 1960s and 1970s. During this period, many single men and women and young families migrated from small farms to the towns where the factories were located. Other families did piecework in their homes. Other people work in small sweatshops that produce shoe parts and components for larger jobbers and finish factories.</w:t>
      </w:r>
    </w:p>
    <w:p w14:paraId="6AB5174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By the year 2000, a mix of large factories, small family farms, unregulated workshops, jobbers, home-based workers, and migrant farm workers characterized the economy of the region. Narotzky (2000) was interested in how the population has come to grips with a local, specialized industrial economy that was suffering shocks due to increased global competition. She described the region as one in which production processes are structured in diverse ways and where people tend to shift between different labor relations that vary greatly in their stability. Some people have stable work opportunities, while others do not. A major social problem that arises from the changing character of the workforce is that many workers are unable to gain access to unemployment benefits and other welfare programs.</w:t>
      </w:r>
    </w:p>
    <w:p w14:paraId="404B71F0"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Urban Poverty Studies</w:t>
      </w:r>
    </w:p>
    <w:p w14:paraId="295EC7ED"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i/>
          <w:iCs/>
          <w:color w:val="000000"/>
          <w:sz w:val="30"/>
          <w:szCs w:val="30"/>
        </w:rPr>
        <w:t>Urban poverty</w:t>
      </w:r>
      <w:r w:rsidRPr="00BB62B7">
        <w:rPr>
          <w:rFonts w:ascii="LinLibertine" w:eastAsia="Times New Roman" w:hAnsi="LinLibertine" w:cs="Times New Roman"/>
          <w:color w:val="000000"/>
          <w:sz w:val="30"/>
          <w:szCs w:val="30"/>
        </w:rPr>
        <w:t xml:space="preserve"> is a global phenomenon; organizations as disparate as the United Nations, private foundations, universities, governments, and the World Bank either fund or participate in studies of its causes and effects. Ethnographers study social groups and populations in urban settings such as the ghetto and barrio. They also focus their attention on the homeless, those who abuse alcohol and other substances, Native American populations, at-risk youth, and others whom Fox (1977) has </w:t>
      </w:r>
      <w:r w:rsidRPr="00BB62B7">
        <w:rPr>
          <w:rFonts w:ascii="LinLibertine" w:eastAsia="Times New Roman" w:hAnsi="LinLibertine" w:cs="Times New Roman"/>
          <w:color w:val="000000"/>
          <w:sz w:val="30"/>
          <w:szCs w:val="30"/>
        </w:rPr>
        <w:lastRenderedPageBreak/>
        <w:t>identified as social groups “whose lifestyles are described as being at the furthest cultural remove from the mainstream world.”</w:t>
      </w:r>
    </w:p>
    <w:p w14:paraId="34288A5E"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Carol Stack (1996) is an example of an ethnographer conducting modern urban poverty studies. Over a three-year period, she carried out participant observation in one of the poorest sections of a minority community in a large city in the American Midwest. Most of the residents of the area were unemployed; those who worked did so in low-paying service jobs that left them little better off than those eligible for welfare. One of the key findings of her study was that families developed large kinship-based exchange networks that included many nonrelated individuals and family units. These networks provided extensive support for other members of the network, helping the residents of the area adapt to a life of poverty, unemployment or underemployment, and welfare dependency.</w:t>
      </w:r>
    </w:p>
    <w:p w14:paraId="125105A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Another recent example of ethnographic research in the realm of urban poverty is the 1999 work of urban anthropologist Alisse Waterston. Waterston spent two years studying the residents of a shelter for at-risk women in New York City. She employed what she described as a “more interactive approach to data gathering,” a practice that is common among qualitative researchers. Her primary method was participant observation, although she also used informal chats and formal tape-recorded, open-ended interviews with both the staff and the residents of the shelter.</w:t>
      </w:r>
    </w:p>
    <w:p w14:paraId="49519DEC"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Waterston (1999) developed the data for her study and final report from themes that emerged from her observation and extensive interviews. Among the themes she included in her study were poverty, homelessness, work, substance abuse, sexual violence, mental illness, AIDS, family and interpersonal relationships, sexuality, race, sex, and food. She found food and preparing meals to be a unifying concept around which many of the other themes were discussed.</w:t>
      </w:r>
    </w:p>
    <w:p w14:paraId="5B24358F"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Urbanization Issues</w:t>
      </w:r>
    </w:p>
    <w:p w14:paraId="17278C17"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research in the anthropology of </w:t>
      </w:r>
      <w:r w:rsidRPr="00BB62B7">
        <w:rPr>
          <w:rFonts w:ascii="LinLibertine" w:eastAsia="Times New Roman" w:hAnsi="LinLibertine" w:cs="Times New Roman"/>
          <w:i/>
          <w:iCs/>
          <w:color w:val="000000"/>
          <w:sz w:val="30"/>
          <w:szCs w:val="30"/>
        </w:rPr>
        <w:t>urbanization</w:t>
      </w:r>
      <w:r w:rsidRPr="00BB62B7">
        <w:rPr>
          <w:rFonts w:ascii="LinLibertine" w:eastAsia="Times New Roman" w:hAnsi="LinLibertine" w:cs="Times New Roman"/>
          <w:color w:val="000000"/>
          <w:sz w:val="30"/>
          <w:szCs w:val="30"/>
        </w:rPr>
        <w:t>, while similar to that of urbanism, focuses instead on the larger, evolutional </w:t>
      </w:r>
      <w:r w:rsidRPr="00BB62B7">
        <w:rPr>
          <w:rFonts w:ascii="LinLibertine" w:eastAsia="Times New Roman" w:hAnsi="LinLibertine" w:cs="Times New Roman"/>
          <w:i/>
          <w:iCs/>
          <w:color w:val="000000"/>
          <w:sz w:val="30"/>
          <w:szCs w:val="30"/>
        </w:rPr>
        <w:t>process</w:t>
      </w:r>
      <w:r w:rsidRPr="00BB62B7">
        <w:rPr>
          <w:rFonts w:ascii="LinLibertine" w:eastAsia="Times New Roman" w:hAnsi="LinLibertine" w:cs="Times New Roman"/>
          <w:color w:val="000000"/>
          <w:sz w:val="30"/>
          <w:szCs w:val="30"/>
        </w:rPr>
        <w:t xml:space="preserve"> of urbanization that characterizes most modern industrial societies. How societies deal with health and safety concerns, waste management, work, play, and the many other difficult social issues associated with urban living are the study topics addressed by </w:t>
      </w:r>
      <w:r w:rsidRPr="00BB62B7">
        <w:rPr>
          <w:rFonts w:ascii="LinLibertine" w:eastAsia="Times New Roman" w:hAnsi="LinLibertine" w:cs="Times New Roman"/>
          <w:color w:val="000000"/>
          <w:sz w:val="30"/>
          <w:szCs w:val="30"/>
        </w:rPr>
        <w:lastRenderedPageBreak/>
        <w:t>these social scientists. The nature of the urban locale, cultural roles in society, demography, class organization, and government are all part of the greater area of interest.</w:t>
      </w:r>
    </w:p>
    <w:p w14:paraId="6335F95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 earlier example of an urban ethnographic study is the research carried out by Ulf Hannerz (1969) among urban blacks on Winston Street in Washington, DC, and described by Fox (1977) in his monograph on urban anthropology. Hannerz’s (1969) study objective was to identify and describe ways in which ghetto lifestyles and social behavior differed from lifestyles in what he called “mainstream America.” Hannerz identified four prototypical ghetto lifestyles: mainstreamers, swingers, street families, and street corner men.</w:t>
      </w:r>
    </w:p>
    <w:p w14:paraId="28AC48AB"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An example of sociological ethnographic research is Alasuutari’s (1995) report of his research, which involved long hours over a period of several months during which he socialized with customers in a bar in Finland. He described the role that drinking and playing darts had for regular patrons of the bar. Alasuutari’s study constituted a social commentary of a pattern of behavior that was thought to contribute heavily to illness, accidents, and suicide among Finnish men—all issues with major resource demands on government agencies. Alasuutari included some historical explanation of why Finnish men spent time in bars, tracing the practice to the erosion of Finnish traditional rural society and the immigration of farm workers to urban centers. These were explained as significant contributors to the role that alcohol consumption plays in certain segments of Finnish society.</w:t>
      </w:r>
    </w:p>
    <w:p w14:paraId="746C8077"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2" w:anchor="R_15031-1034_h1_ch024_005" w:history="1">
        <w:r w:rsidRPr="00BB62B7">
          <w:rPr>
            <w:rFonts w:ascii="LinLibertine" w:eastAsia="Times New Roman" w:hAnsi="LinLibertine" w:cs="Times New Roman"/>
            <w:b/>
            <w:bCs/>
            <w:color w:val="0000FF"/>
            <w:sz w:val="45"/>
            <w:szCs w:val="45"/>
            <w:u w:val="single"/>
          </w:rPr>
          <w:t>Ethnographic Research on Volunteerism</w:t>
        </w:r>
      </w:hyperlink>
    </w:p>
    <w:p w14:paraId="018945DA"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Lynne Nakano’s 2000 study of volunteerism in modern Japan is an example of an ethnographic study on urbanization’s effect on a society. Her study focused on the way some modern Japanese are achieving their self-identity by volunteering to help in the operations of government, nonprofit organizations, schools, corporations, community groups, and other social groupings. This type of study can have great impact on public policy making, as well as providing significant direction for managers of nonprofit organizations in a community.</w:t>
      </w:r>
    </w:p>
    <w:p w14:paraId="0A496FF9"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In the past, Japanese society held two distinct views. The more recent view is that people must develop themselves through self-expression, while the older, traditionalist view was that individuals must connect </w:t>
      </w:r>
      <w:r w:rsidRPr="00BB62B7">
        <w:rPr>
          <w:rFonts w:ascii="LinLibertine" w:eastAsia="Times New Roman" w:hAnsi="LinLibertine" w:cs="Times New Roman"/>
          <w:color w:val="000000"/>
          <w:sz w:val="30"/>
          <w:szCs w:val="30"/>
        </w:rPr>
        <w:lastRenderedPageBreak/>
        <w:t>themselves to a social group, such as a firm or school, and define themselves through their commitment to that group. Since the 1990s, however, proponents of a third view—volunteerism—have proposed that </w:t>
      </w:r>
      <w:r w:rsidRPr="00BB62B7">
        <w:rPr>
          <w:rFonts w:ascii="LinLibertine" w:eastAsia="Times New Roman" w:hAnsi="LinLibertine" w:cs="Times New Roman"/>
          <w:i/>
          <w:iCs/>
          <w:color w:val="000000"/>
          <w:sz w:val="30"/>
          <w:szCs w:val="30"/>
        </w:rPr>
        <w:t>both</w:t>
      </w:r>
      <w:r w:rsidRPr="00BB62B7">
        <w:rPr>
          <w:rFonts w:ascii="LinLibertine" w:eastAsia="Times New Roman" w:hAnsi="LinLibertine" w:cs="Times New Roman"/>
          <w:color w:val="000000"/>
          <w:sz w:val="30"/>
          <w:szCs w:val="30"/>
        </w:rPr>
        <w:t>camps can be satisfied because volunteerism straddles the divide; it develops the self and contributes to society at the same time.</w:t>
      </w:r>
    </w:p>
    <w:p w14:paraId="3E596AA4"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Nakano (2000) analyzed volunteering in a densely populated middle- to lower-middle-class residential neighborhood on the outskirts of Yokohama. The community contained a variety of housing types that reflected a mix of socioeconomic lifestyles. On one end of the scale was a 1,040-household public housing project for low-income citizens. Other types ranged from rental apartments and privately owned condominium apartments to single-family detached homes at the top of the scale.</w:t>
      </w:r>
    </w:p>
    <w:p w14:paraId="075CE9FD"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practice of using volunteer activity for self-identity flourished in the area for several reasons. First, the neighborhood was aging, a trend led by the people residing in the large public housing project, where one in four residents was sixty-five years old or older—nearly twice the average in Japan today. These older residents were both potential volunteers and the recipients of voluntary services.</w:t>
      </w:r>
    </w:p>
    <w:p w14:paraId="128946F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Second, identifying oneself as a volunteer served as </w:t>
      </w:r>
      <w:r w:rsidRPr="00BB62B7">
        <w:rPr>
          <w:rFonts w:ascii="LinLibertine" w:eastAsia="Times New Roman" w:hAnsi="LinLibertine" w:cs="Times New Roman"/>
          <w:i/>
          <w:iCs/>
          <w:color w:val="000000"/>
          <w:sz w:val="30"/>
          <w:szCs w:val="30"/>
        </w:rPr>
        <w:t>symbolic leverage</w:t>
      </w:r>
      <w:r w:rsidRPr="00BB62B7">
        <w:rPr>
          <w:rFonts w:ascii="LinLibertine" w:eastAsia="Times New Roman" w:hAnsi="LinLibertine" w:cs="Times New Roman"/>
          <w:color w:val="000000"/>
          <w:sz w:val="30"/>
          <w:szCs w:val="30"/>
        </w:rPr>
        <w:t> for neighborhood newcomers. A “newcomer” was defined in the largest sense of the word; barely 1 percent of the population of the region were descendants of the original landowning and farming families. Yet they remained as leaders of many social groupings in the region. Some “newcomers” had lived in the community for more than twenty years.</w:t>
      </w:r>
    </w:p>
    <w:p w14:paraId="3773F9C0"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Third, volunteerism was seen as a socially recognized activity that was particularly acceptable for middle-aged women and retired former “salary men,” although volunteering was more of a social risk for men compared with women. Becoming a volunteer, in fact, often resulted in a </w:t>
      </w:r>
      <w:r w:rsidRPr="00BB62B7">
        <w:rPr>
          <w:rFonts w:ascii="LinLibertine" w:eastAsia="Times New Roman" w:hAnsi="LinLibertine" w:cs="Times New Roman"/>
          <w:i/>
          <w:iCs/>
          <w:color w:val="000000"/>
          <w:sz w:val="30"/>
          <w:szCs w:val="30"/>
        </w:rPr>
        <w:t>promotion</w:t>
      </w:r>
      <w:r w:rsidRPr="00BB62B7">
        <w:rPr>
          <w:rFonts w:ascii="LinLibertine" w:eastAsia="Times New Roman" w:hAnsi="LinLibertine" w:cs="Times New Roman"/>
          <w:color w:val="000000"/>
          <w:sz w:val="30"/>
          <w:szCs w:val="30"/>
        </w:rPr>
        <w:t> in status for female homemakers, who became quasi-public figures in their volunteer roles.</w:t>
      </w:r>
    </w:p>
    <w:p w14:paraId="7740FEEF"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3" w:anchor="R_15031-1034_h1_ch024_006" w:history="1">
        <w:r w:rsidRPr="00BB62B7">
          <w:rPr>
            <w:rFonts w:ascii="LinLibertine" w:eastAsia="Times New Roman" w:hAnsi="LinLibertine" w:cs="Times New Roman"/>
            <w:b/>
            <w:bCs/>
            <w:color w:val="0000FF"/>
            <w:sz w:val="45"/>
            <w:szCs w:val="45"/>
            <w:u w:val="single"/>
          </w:rPr>
          <w:t>Researching Organization Culture</w:t>
        </w:r>
      </w:hyperlink>
    </w:p>
    <w:p w14:paraId="1380FBE8"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Every organization, whether in the public or private sector, has its own distinctive culture and operating climate. Culture and climate have tremendous influence on the effectiveness and efficiency of government agencies and are closely monitored by public </w:t>
      </w:r>
      <w:r w:rsidRPr="00BB62B7">
        <w:rPr>
          <w:rFonts w:ascii="LinLibertine" w:eastAsia="Times New Roman" w:hAnsi="LinLibertine" w:cs="Times New Roman"/>
          <w:color w:val="000000"/>
          <w:sz w:val="30"/>
          <w:szCs w:val="30"/>
        </w:rPr>
        <w:lastRenderedPageBreak/>
        <w:t>administrators. The study of organizational culture owes much of its method and underlying principles to ideas produced through ethnographic research. Change-agent consultants working on organizational development projects are very likely to use either ethnography or ethology methods for their data gathering.</w:t>
      </w:r>
    </w:p>
    <w:p w14:paraId="564CA81B"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Organizational culture has been defined in many different ways, but most definitions are similar to that offered by Schein (1992): “Organizational culture is the shared and implicit assumptions held by a group and that determines how members of the group perceive, think about, and react to its various environments” (229). Other definitions include those of Margulies and Wallace (1973), who defined organizational culture as the learned beliefs, values, and patterns of behavior that characterize an organization, and Peters and Wateman (1982), who saw culture as the shared system of values that manifests itself through different cultural artifacts.</w:t>
      </w:r>
    </w:p>
    <w:p w14:paraId="55D9EFD2"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In addition to their culture, organizations can also be said to have a distinct operating climate that results from the interaction of employees, administrators, and managers functioning within that culture. </w:t>
      </w:r>
      <w:r w:rsidRPr="00BB62B7">
        <w:rPr>
          <w:rFonts w:ascii="LinLibertine" w:eastAsia="Times New Roman" w:hAnsi="LinLibertine" w:cs="Times New Roman"/>
          <w:i/>
          <w:iCs/>
          <w:color w:val="000000"/>
          <w:sz w:val="30"/>
          <w:szCs w:val="30"/>
        </w:rPr>
        <w:t>Operating climate</w:t>
      </w:r>
      <w:r w:rsidRPr="00BB62B7">
        <w:rPr>
          <w:rFonts w:ascii="LinLibertine" w:eastAsia="Times New Roman" w:hAnsi="LinLibertine" w:cs="Times New Roman"/>
          <w:color w:val="000000"/>
          <w:sz w:val="30"/>
          <w:szCs w:val="30"/>
        </w:rPr>
        <w:t> reflects the content and strength of the salient values, attitudes, behaviors, and feelings of the people working in an organization (Payne 1971). Lewicki </w:t>
      </w:r>
      <w:r w:rsidRPr="00BB62B7">
        <w:rPr>
          <w:rFonts w:ascii="LinLibertine" w:eastAsia="Times New Roman" w:hAnsi="LinLibertine" w:cs="Times New Roman"/>
          <w:i/>
          <w:iCs/>
          <w:color w:val="000000"/>
          <w:sz w:val="30"/>
          <w:szCs w:val="30"/>
        </w:rPr>
        <w:t>et al</w:t>
      </w:r>
      <w:r w:rsidRPr="00BB62B7">
        <w:rPr>
          <w:rFonts w:ascii="LinLibertine" w:eastAsia="Times New Roman" w:hAnsi="LinLibertine" w:cs="Times New Roman"/>
          <w:color w:val="000000"/>
          <w:sz w:val="30"/>
          <w:szCs w:val="30"/>
        </w:rPr>
        <w:t>. (1988) saw operating climate as the level and form of organizational support, openness, style of supervision, conflict and conflict resolution, autonomy, and the existing quality of relationships that exist within the organization. Dastmalchian, Blyton, and Adamson (1991) were more succinct, terming operating climate as simply the atmosphere prevailing in an organization.</w:t>
      </w:r>
    </w:p>
    <w:p w14:paraId="24D2273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 xml:space="preserve">The study of culture in organizations is approached from two broad perspectives, including (1) studies that follow a traditional positivist approach and (2) studies that adopt a postpositivist approach. Researchers who study organizational cultures from a positivist viewpoint hold the opinion that there are clear, easily identified dimensions of culture that can be measured (usually with a questionnaire). McNabb and Sepic (1995), for example, developed a scale for diagnosing the organizational culture of an agency of the federal government. They used employees’ attitudes and opinions on nine dimensions of culture and climate: (1) organizational structure, (2) responsibility, (3) risk and challenge, (4) rewards, (5) warmth and support, (6) conflict, (7) organizational identity, (8) ethics, and (9) </w:t>
      </w:r>
      <w:r w:rsidRPr="00BB62B7">
        <w:rPr>
          <w:rFonts w:ascii="LinLibertine" w:eastAsia="Times New Roman" w:hAnsi="LinLibertine" w:cs="Times New Roman"/>
          <w:color w:val="000000"/>
          <w:sz w:val="30"/>
          <w:szCs w:val="30"/>
        </w:rPr>
        <w:lastRenderedPageBreak/>
        <w:t>approved practices. The descriptive profiles developed with such studies of an organization can then be compared with the cultures of other groups. Organizational culture is something that can be reinforced or </w:t>
      </w:r>
      <w:r w:rsidRPr="00BB62B7">
        <w:rPr>
          <w:rFonts w:ascii="LinLibertine" w:eastAsia="Times New Roman" w:hAnsi="LinLibertine" w:cs="Times New Roman"/>
          <w:i/>
          <w:iCs/>
          <w:color w:val="000000"/>
          <w:sz w:val="30"/>
          <w:szCs w:val="30"/>
        </w:rPr>
        <w:t>changed</w:t>
      </w:r>
      <w:r w:rsidRPr="00BB62B7">
        <w:rPr>
          <w:rFonts w:ascii="LinLibertine" w:eastAsia="Times New Roman" w:hAnsi="LinLibertine" w:cs="Times New Roman"/>
          <w:color w:val="000000"/>
          <w:sz w:val="30"/>
          <w:szCs w:val="30"/>
        </w:rPr>
        <w:t>—the fundamental goal of an organizational development initiative.</w:t>
      </w:r>
    </w:p>
    <w:p w14:paraId="2D37B10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second school of thought follows an interpretivist view. To these investigators, it is impossible to measure culture because it changes form with each attempt to pin it down; each observer comes away with a different interpretation based on his or her personal values and experiences. Therefore, culture is extremely difficult to manage; efforts to initiate a desired change may be fruitless—a mindless task with no hope of a concrete, lasting result.</w:t>
      </w:r>
    </w:p>
    <w:p w14:paraId="4C8FA5B9" w14:textId="77777777" w:rsidR="0061791E" w:rsidRPr="00BB62B7" w:rsidRDefault="0061791E" w:rsidP="0061791E">
      <w:pPr>
        <w:spacing w:before="240" w:after="240" w:line="468" w:lineRule="atLeast"/>
        <w:outlineLvl w:val="2"/>
        <w:rPr>
          <w:rFonts w:ascii="LinLibertine" w:eastAsia="Times New Roman" w:hAnsi="LinLibertine" w:cs="Times New Roman"/>
          <w:b/>
          <w:bCs/>
          <w:color w:val="000000"/>
          <w:sz w:val="36"/>
          <w:szCs w:val="36"/>
        </w:rPr>
      </w:pPr>
      <w:r w:rsidRPr="00BB62B7">
        <w:rPr>
          <w:rFonts w:ascii="LinLibertine" w:eastAsia="Times New Roman" w:hAnsi="LinLibertine" w:cs="Times New Roman"/>
          <w:b/>
          <w:bCs/>
          <w:color w:val="000000"/>
          <w:sz w:val="36"/>
          <w:szCs w:val="36"/>
        </w:rPr>
        <w:t>Contribution of Edgar Schein</w:t>
      </w:r>
    </w:p>
    <w:p w14:paraId="3DD582EC"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One of the principal investigators in the field of organizational studies is Edgar H. Schein, who helped to establish the field of organizational studies at the Massachusetts Institute of Technology. Building on earlier work by such pioneers in social psychology as Kurt Lewin and Ennis Likert, Schein believed that the innate culture of an organization often serves as a barrier to planned change. Schein (1996) noted that when organizations try to alter and improve their operations, they often run into resistance that is based in the culture and/or subcultures that exist within all groups. This culture exists whether it is recognized or not. Members of the group are often not even aware of the culture of their group until they are faced with replacing it with something new and different.</w:t>
      </w:r>
    </w:p>
    <w:p w14:paraId="430C73F9"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Schein is critical of the positivist approach to the study of organizational culture. Traditional research has often resulted in a dependence on abstractions about organizations and human behaviors in groups that are developed exclusively from a limited number of answers to questionnaires. These questionnaire-developed abstractions have created an artificial fabrication of reality. This has resulted in what Schein called </w:t>
      </w:r>
      <w:r w:rsidRPr="00BB62B7">
        <w:rPr>
          <w:rFonts w:ascii="LinLibertine" w:eastAsia="Times New Roman" w:hAnsi="LinLibertine" w:cs="Times New Roman"/>
          <w:i/>
          <w:iCs/>
          <w:color w:val="000000"/>
          <w:sz w:val="30"/>
          <w:szCs w:val="30"/>
        </w:rPr>
        <w:t>fuzzy theory</w:t>
      </w:r>
      <w:r w:rsidRPr="00BB62B7">
        <w:rPr>
          <w:rFonts w:ascii="LinLibertine" w:eastAsia="Times New Roman" w:hAnsi="LinLibertine" w:cs="Times New Roman"/>
          <w:color w:val="000000"/>
          <w:sz w:val="30"/>
          <w:szCs w:val="30"/>
        </w:rPr>
        <w:t xml:space="preserve">—research findings that depend upon “massaging the data” statistically to establish significant results. His solution to this problem involves taking an interdisciplinary approach that includes ethnographic involvement in the research process. “Concepts for understanding culture in organizations have value only when they derive from observation of real behavior in </w:t>
      </w:r>
      <w:r w:rsidRPr="00BB62B7">
        <w:rPr>
          <w:rFonts w:ascii="LinLibertine" w:eastAsia="Times New Roman" w:hAnsi="LinLibertine" w:cs="Times New Roman"/>
          <w:color w:val="000000"/>
          <w:sz w:val="30"/>
          <w:szCs w:val="30"/>
        </w:rPr>
        <w:lastRenderedPageBreak/>
        <w:t>organizations, when they are definable enough to generate further study” (Schein 1996, 229).</w:t>
      </w:r>
    </w:p>
    <w:p w14:paraId="4FC9E1EF"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4" w:anchor="R_15031-1034_h1_ch024_007" w:history="1">
        <w:r w:rsidRPr="00BB62B7">
          <w:rPr>
            <w:rFonts w:ascii="LinLibertine" w:eastAsia="Times New Roman" w:hAnsi="LinLibertine" w:cs="Times New Roman"/>
            <w:b/>
            <w:bCs/>
            <w:color w:val="0000FF"/>
            <w:sz w:val="45"/>
            <w:szCs w:val="45"/>
            <w:u w:val="single"/>
          </w:rPr>
          <w:t>Summary</w:t>
        </w:r>
      </w:hyperlink>
    </w:p>
    <w:p w14:paraId="0EED7CCC" w14:textId="77777777" w:rsidR="0061791E" w:rsidRPr="00BB62B7" w:rsidRDefault="0061791E" w:rsidP="0061791E">
      <w:pPr>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new social scientists who emerged in the eighteenth and nineteenth centuries were curious about primitive societies and the effects of industrialization on children, families, and the working poor. This resulted in research efforts to understand why social problems occurred and what could (or ought to) be done to change society to improve the lot of the poor and disenfranchised. Adding to this curiosity was news about many unknown societies and cultures.</w:t>
      </w:r>
    </w:p>
    <w:p w14:paraId="47D951F6"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Sociology evolved as a way to conduct systematic investigations into the newly emerging industrial society and the litany of social ills that was seen as an unwanted by-product of the industrialization process. Early attempts at establishing a systematic way of explaining human behavior and mental aberrations resulted in the creation of the science of psychology. Building on a tradition born from early travel stories and a scientific way of looking at indigenous cultures, another group of scholars forged the new social science of anthropology.</w:t>
      </w:r>
    </w:p>
    <w:p w14:paraId="772A1884"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Through an eclectic process of trial and error, anthropologists and sociologists developed a way of conducting research that allowed them to meet their study objectives in all kinds of social and cultural settings. The name given to this method was </w:t>
      </w:r>
      <w:r w:rsidRPr="00BB62B7">
        <w:rPr>
          <w:rFonts w:ascii="LinLibertine" w:eastAsia="Times New Roman" w:hAnsi="LinLibertine" w:cs="Times New Roman"/>
          <w:i/>
          <w:iCs/>
          <w:color w:val="000000"/>
          <w:sz w:val="30"/>
          <w:szCs w:val="30"/>
        </w:rPr>
        <w:t>ethnography</w:t>
      </w:r>
      <w:r w:rsidRPr="00BB62B7">
        <w:rPr>
          <w:rFonts w:ascii="LinLibertine" w:eastAsia="Times New Roman" w:hAnsi="LinLibertine" w:cs="Times New Roman"/>
          <w:color w:val="000000"/>
          <w:sz w:val="30"/>
          <w:szCs w:val="30"/>
        </w:rPr>
        <w:t>. Researchers in public administration have also adopted this method of research.</w:t>
      </w:r>
    </w:p>
    <w:p w14:paraId="24FB6B1A"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Ethnographers often live, work, and play for long periods of time with the members of the group under study. Their aim is to be absorbed into the group, with the underlying objective of becoming accepted as a nonthreatening or nonintrusive member of the group so that events and interrelationships unfold as if the observer were not in attendance. This process, called “gaining entry,” is the key to a successful research project.</w:t>
      </w:r>
    </w:p>
    <w:p w14:paraId="5C4894B1" w14:textId="77777777" w:rsidR="0061791E" w:rsidRPr="00BB62B7" w:rsidRDefault="0061791E" w:rsidP="0061791E">
      <w:pPr>
        <w:ind w:firstLine="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The process of living with a social group during fieldwork involves observing and recording individuals’ behaviors. The ethnographer summarizes these field notes into a larger descriptive generalization that purports to describe the behavior of the larger society. The researcher must then develop </w:t>
      </w:r>
      <w:r w:rsidRPr="00BB62B7">
        <w:rPr>
          <w:rFonts w:ascii="LinLibertine" w:eastAsia="Times New Roman" w:hAnsi="LinLibertine" w:cs="Times New Roman"/>
          <w:i/>
          <w:iCs/>
          <w:color w:val="000000"/>
          <w:sz w:val="30"/>
          <w:szCs w:val="30"/>
        </w:rPr>
        <w:t>subjective descriptions</w:t>
      </w:r>
      <w:r w:rsidRPr="00BB62B7">
        <w:rPr>
          <w:rFonts w:ascii="LinLibertine" w:eastAsia="Times New Roman" w:hAnsi="LinLibertine" w:cs="Times New Roman"/>
          <w:color w:val="000000"/>
          <w:sz w:val="30"/>
          <w:szCs w:val="30"/>
        </w:rPr>
        <w:t> that are based on a large number of </w:t>
      </w:r>
      <w:r w:rsidRPr="00BB62B7">
        <w:rPr>
          <w:rFonts w:ascii="LinLibertine" w:eastAsia="Times New Roman" w:hAnsi="LinLibertine" w:cs="Times New Roman"/>
          <w:i/>
          <w:iCs/>
          <w:color w:val="000000"/>
          <w:sz w:val="30"/>
          <w:szCs w:val="30"/>
        </w:rPr>
        <w:t>generalizations</w:t>
      </w:r>
      <w:r w:rsidRPr="00BB62B7">
        <w:rPr>
          <w:rFonts w:ascii="LinLibertine" w:eastAsia="Times New Roman" w:hAnsi="LinLibertine" w:cs="Times New Roman"/>
          <w:color w:val="000000"/>
          <w:sz w:val="30"/>
          <w:szCs w:val="30"/>
        </w:rPr>
        <w:t>. In making these generalizations, the ethnographer moves from the </w:t>
      </w:r>
      <w:r w:rsidRPr="00BB62B7">
        <w:rPr>
          <w:rFonts w:ascii="LinLibertine" w:eastAsia="Times New Roman" w:hAnsi="LinLibertine" w:cs="Times New Roman"/>
          <w:i/>
          <w:iCs/>
          <w:color w:val="000000"/>
          <w:sz w:val="30"/>
          <w:szCs w:val="30"/>
        </w:rPr>
        <w:t>specific</w:t>
      </w:r>
      <w:r w:rsidRPr="00BB62B7">
        <w:rPr>
          <w:rFonts w:ascii="LinLibertine" w:eastAsia="Times New Roman" w:hAnsi="LinLibertine" w:cs="Times New Roman"/>
          <w:color w:val="000000"/>
          <w:sz w:val="30"/>
          <w:szCs w:val="30"/>
        </w:rPr>
        <w:t> to the </w:t>
      </w:r>
      <w:r w:rsidRPr="00BB62B7">
        <w:rPr>
          <w:rFonts w:ascii="LinLibertine" w:eastAsia="Times New Roman" w:hAnsi="LinLibertine" w:cs="Times New Roman"/>
          <w:i/>
          <w:iCs/>
          <w:color w:val="000000"/>
          <w:sz w:val="30"/>
          <w:szCs w:val="30"/>
        </w:rPr>
        <w:t>general</w:t>
      </w:r>
      <w:r w:rsidRPr="00BB62B7">
        <w:rPr>
          <w:rFonts w:ascii="LinLibertine" w:eastAsia="Times New Roman" w:hAnsi="LinLibertine" w:cs="Times New Roman"/>
          <w:color w:val="000000"/>
          <w:sz w:val="30"/>
          <w:szCs w:val="30"/>
        </w:rPr>
        <w:t xml:space="preserve">. That is, the </w:t>
      </w:r>
      <w:r w:rsidRPr="00BB62B7">
        <w:rPr>
          <w:rFonts w:ascii="LinLibertine" w:eastAsia="Times New Roman" w:hAnsi="LinLibertine" w:cs="Times New Roman"/>
          <w:color w:val="000000"/>
          <w:sz w:val="30"/>
          <w:szCs w:val="30"/>
        </w:rPr>
        <w:lastRenderedPageBreak/>
        <w:t>behaviors of one or a small group are used to infer that those behaviors are also those of larger groups in similar circumstances. The ethnographer should also develop </w:t>
      </w:r>
      <w:r w:rsidRPr="00BB62B7">
        <w:rPr>
          <w:rFonts w:ascii="LinLibertine" w:eastAsia="Times New Roman" w:hAnsi="LinLibertine" w:cs="Times New Roman"/>
          <w:i/>
          <w:iCs/>
          <w:color w:val="000000"/>
          <w:sz w:val="30"/>
          <w:szCs w:val="30"/>
        </w:rPr>
        <w:t>interpretations</w:t>
      </w:r>
      <w:r w:rsidRPr="00BB62B7">
        <w:rPr>
          <w:rFonts w:ascii="LinLibertine" w:eastAsia="Times New Roman" w:hAnsi="LinLibertine" w:cs="Times New Roman"/>
          <w:color w:val="000000"/>
          <w:sz w:val="30"/>
          <w:szCs w:val="30"/>
        </w:rPr>
        <w:t> of the observed behaviors; the question “why” should be answered to the best of the ethnographer’s ability.</w:t>
      </w:r>
    </w:p>
    <w:p w14:paraId="677D38BE"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5" w:anchor="R_15031-1034_h1_ch024_008" w:history="1">
        <w:r w:rsidRPr="00BB62B7">
          <w:rPr>
            <w:rFonts w:ascii="LinLibertine" w:eastAsia="Times New Roman" w:hAnsi="LinLibertine" w:cs="Times New Roman"/>
            <w:b/>
            <w:bCs/>
            <w:color w:val="0000FF"/>
            <w:sz w:val="45"/>
            <w:szCs w:val="45"/>
            <w:u w:val="single"/>
          </w:rPr>
          <w:t>Key Terms</w:t>
        </w:r>
      </w:hyperlink>
    </w:p>
    <w:p w14:paraId="49F6C72F"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Action research</w:t>
      </w:r>
    </w:p>
    <w:p w14:paraId="1B444113"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Archaeology</w:t>
      </w:r>
    </w:p>
    <w:p w14:paraId="24813811"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Community-based ethnography</w:t>
      </w:r>
    </w:p>
    <w:p w14:paraId="0C50A691"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Cultural anthropology</w:t>
      </w:r>
    </w:p>
    <w:p w14:paraId="0D12B99B"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Culture</w:t>
      </w:r>
    </w:p>
    <w:p w14:paraId="22673A3D"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Ethnographic studies</w:t>
      </w:r>
    </w:p>
    <w:p w14:paraId="6D320236"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Ethnography</w:t>
      </w:r>
    </w:p>
    <w:p w14:paraId="328BB978"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Ethnology</w:t>
      </w:r>
    </w:p>
    <w:p w14:paraId="35570125"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Ethnomethodology</w:t>
      </w:r>
    </w:p>
    <w:p w14:paraId="65D3A608"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Ethology</w:t>
      </w:r>
    </w:p>
    <w:p w14:paraId="03956697"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Field notes</w:t>
      </w:r>
    </w:p>
    <w:p w14:paraId="158D4EA1"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Fieldwork</w:t>
      </w:r>
    </w:p>
    <w:p w14:paraId="690E2A90"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Key informants</w:t>
      </w:r>
    </w:p>
    <w:p w14:paraId="5F83B95E"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Memoranda</w:t>
      </w:r>
    </w:p>
    <w:p w14:paraId="5B6B29EE"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Naturalistic observation</w:t>
      </w:r>
    </w:p>
    <w:p w14:paraId="3934870C"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Operating climate</w:t>
      </w:r>
    </w:p>
    <w:p w14:paraId="2F2DAD4E"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Participant observation</w:t>
      </w:r>
    </w:p>
    <w:p w14:paraId="065E49EE"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Physical anthropology</w:t>
      </w:r>
    </w:p>
    <w:p w14:paraId="6A46D29A"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Selective perception</w:t>
      </w:r>
    </w:p>
    <w:p w14:paraId="3A0A3F0E"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Selective retention</w:t>
      </w:r>
    </w:p>
    <w:p w14:paraId="3621BF26"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Sensory excitation</w:t>
      </w:r>
    </w:p>
    <w:p w14:paraId="47AEDE16"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Social behavior</w:t>
      </w:r>
    </w:p>
    <w:p w14:paraId="1A8ABE32"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Sociology</w:t>
      </w:r>
    </w:p>
    <w:p w14:paraId="57AF5396"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Subjective generalizations</w:t>
      </w:r>
    </w:p>
    <w:p w14:paraId="7C269002"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Symbolic leverage</w:t>
      </w:r>
    </w:p>
    <w:p w14:paraId="6E6F99DB"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Thick description</w:t>
      </w:r>
    </w:p>
    <w:p w14:paraId="4A6E4D96" w14:textId="77777777" w:rsidR="0061791E" w:rsidRPr="00BB62B7" w:rsidRDefault="0061791E" w:rsidP="0061791E">
      <w:pPr>
        <w:numPr>
          <w:ilvl w:val="0"/>
          <w:numId w:val="1"/>
        </w:numPr>
        <w:spacing w:before="100" w:beforeAutospacing="1" w:after="100" w:afterAutospacing="1"/>
        <w:ind w:left="240"/>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Urbanism</w:t>
      </w:r>
    </w:p>
    <w:p w14:paraId="04A3440B" w14:textId="77777777" w:rsidR="0061791E" w:rsidRPr="00BB62B7" w:rsidRDefault="0061791E" w:rsidP="0061791E">
      <w:pPr>
        <w:spacing w:before="240" w:after="168" w:line="585" w:lineRule="atLeast"/>
        <w:outlineLvl w:val="1"/>
        <w:rPr>
          <w:rFonts w:ascii="LinLibertine" w:eastAsia="Times New Roman" w:hAnsi="LinLibertine" w:cs="Times New Roman"/>
          <w:b/>
          <w:bCs/>
          <w:color w:val="000000"/>
          <w:sz w:val="45"/>
          <w:szCs w:val="45"/>
        </w:rPr>
      </w:pPr>
      <w:hyperlink r:id="rId46" w:anchor="R_15031-1034_h1_ch024_009" w:history="1">
        <w:r w:rsidRPr="00BB62B7">
          <w:rPr>
            <w:rFonts w:ascii="LinLibertine" w:eastAsia="Times New Roman" w:hAnsi="LinLibertine" w:cs="Times New Roman"/>
            <w:b/>
            <w:bCs/>
            <w:color w:val="0000FF"/>
            <w:sz w:val="45"/>
            <w:szCs w:val="45"/>
            <w:u w:val="single"/>
          </w:rPr>
          <w:t>Discussion Questions</w:t>
        </w:r>
      </w:hyperlink>
    </w:p>
    <w:p w14:paraId="06761797"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lastRenderedPageBreak/>
        <w:t>Do you feel that an ethnographic design is appropriate for public administration research? Why or why not?</w:t>
      </w:r>
    </w:p>
    <w:p w14:paraId="7B73BB2B"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What is thick description?</w:t>
      </w:r>
    </w:p>
    <w:p w14:paraId="21E04D1F"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Define the term “ethnography.” What do ethnographers study?</w:t>
      </w:r>
    </w:p>
    <w:p w14:paraId="34FB5256"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What is the difference between ethnography and ethology?</w:t>
      </w:r>
    </w:p>
    <w:p w14:paraId="2892904D"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What is ethnomethodology?</w:t>
      </w:r>
    </w:p>
    <w:p w14:paraId="19B69265"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What is participant observation, and how does it differ from simple observation?</w:t>
      </w:r>
    </w:p>
    <w:p w14:paraId="0C1AFDEB" w14:textId="77777777" w:rsidR="0061791E" w:rsidRPr="00BB62B7" w:rsidRDefault="0061791E" w:rsidP="0061791E">
      <w:pPr>
        <w:numPr>
          <w:ilvl w:val="0"/>
          <w:numId w:val="2"/>
        </w:numPr>
        <w:spacing w:before="100" w:beforeAutospacing="1" w:after="100" w:afterAutospacing="1"/>
        <w:jc w:val="both"/>
        <w:rPr>
          <w:rFonts w:ascii="LinLibertine" w:eastAsia="Times New Roman" w:hAnsi="LinLibertine" w:cs="Times New Roman"/>
          <w:color w:val="000000"/>
          <w:sz w:val="30"/>
          <w:szCs w:val="30"/>
        </w:rPr>
      </w:pPr>
      <w:r w:rsidRPr="00BB62B7">
        <w:rPr>
          <w:rFonts w:ascii="LinLibertine" w:eastAsia="Times New Roman" w:hAnsi="LinLibertine" w:cs="Times New Roman"/>
          <w:color w:val="000000"/>
          <w:sz w:val="30"/>
          <w:szCs w:val="30"/>
        </w:rPr>
        <w:t>How would you use participant observation in a research project in public administration?</w:t>
      </w:r>
    </w:p>
    <w:p w14:paraId="028BCFF4" w14:textId="77777777" w:rsidR="0061791E" w:rsidRDefault="0061791E" w:rsidP="0061791E"/>
    <w:p w14:paraId="41DAD0CB" w14:textId="77777777" w:rsidR="00227327" w:rsidRDefault="0061791E">
      <w:bookmarkStart w:id="0" w:name="_GoBack"/>
      <w:bookmarkEnd w:id="0"/>
    </w:p>
    <w:sectPr w:rsidR="00227327" w:rsidSect="00D57F2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inLibertine">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625"/>
    <w:multiLevelType w:val="multilevel"/>
    <w:tmpl w:val="BA04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E4CD6"/>
    <w:multiLevelType w:val="multilevel"/>
    <w:tmpl w:val="FFF4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9877BE"/>
    <w:multiLevelType w:val="multilevel"/>
    <w:tmpl w:val="2AD8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9718D"/>
    <w:multiLevelType w:val="multilevel"/>
    <w:tmpl w:val="1CD0A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60218E"/>
    <w:multiLevelType w:val="multilevel"/>
    <w:tmpl w:val="1C0E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E34AB0"/>
    <w:multiLevelType w:val="multilevel"/>
    <w:tmpl w:val="2B7CA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526625"/>
    <w:multiLevelType w:val="multilevel"/>
    <w:tmpl w:val="C464E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4607B"/>
    <w:multiLevelType w:val="multilevel"/>
    <w:tmpl w:val="50148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4E1055"/>
    <w:multiLevelType w:val="multilevel"/>
    <w:tmpl w:val="6BDE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673D14"/>
    <w:multiLevelType w:val="multilevel"/>
    <w:tmpl w:val="D0CE0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7C65CC"/>
    <w:multiLevelType w:val="multilevel"/>
    <w:tmpl w:val="FB4AE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36E30"/>
    <w:multiLevelType w:val="multilevel"/>
    <w:tmpl w:val="E4AC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893188"/>
    <w:multiLevelType w:val="multilevel"/>
    <w:tmpl w:val="F70A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11"/>
  </w:num>
  <w:num w:numId="4">
    <w:abstractNumId w:val="7"/>
  </w:num>
  <w:num w:numId="5">
    <w:abstractNumId w:val="1"/>
  </w:num>
  <w:num w:numId="6">
    <w:abstractNumId w:val="4"/>
  </w:num>
  <w:num w:numId="7">
    <w:abstractNumId w:val="3"/>
  </w:num>
  <w:num w:numId="8">
    <w:abstractNumId w:val="6"/>
  </w:num>
  <w:num w:numId="9">
    <w:abstractNumId w:val="10"/>
  </w:num>
  <w:num w:numId="10">
    <w:abstractNumId w:val="2"/>
  </w:num>
  <w:num w:numId="11">
    <w:abstractNumId w:val="8"/>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91E"/>
    <w:rsid w:val="0061791E"/>
    <w:rsid w:val="00B84A4F"/>
    <w:rsid w:val="00D57F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9667"/>
  <w15:chartTrackingRefBased/>
  <w15:docId w15:val="{CA085E42-5F51-294A-BFED-44794B018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79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1351721479/epub/OEBPS/xhtml/Ch23.xhtml" TargetMode="External"/><Relationship Id="rId18" Type="http://schemas.openxmlformats.org/officeDocument/2006/relationships/hyperlink" Target="https://jigsaw.vitalsource.com/books/9781351721479/epub/OEBPS/xhtml/Ch23.xhtml" TargetMode="External"/><Relationship Id="rId26" Type="http://schemas.openxmlformats.org/officeDocument/2006/relationships/hyperlink" Target="https://jigsaw.vitalsource.com/books/9781351721479/epub/OEBPS/xhtml/detailedtableofcontents.xhtml" TargetMode="External"/><Relationship Id="rId39" Type="http://schemas.openxmlformats.org/officeDocument/2006/relationships/hyperlink" Target="https://jigsaw.vitalsource.com/books/9781351721479/epub/OEBPS/xhtml/listoffigures.xhtml" TargetMode="External"/><Relationship Id="rId21" Type="http://schemas.openxmlformats.org/officeDocument/2006/relationships/hyperlink" Target="https://jigsaw.vitalsource.com/books/9781351721479/epub/OEBPS/xhtml/detailedtableofcontents.xhtml" TargetMode="External"/><Relationship Id="rId34" Type="http://schemas.openxmlformats.org/officeDocument/2006/relationships/hyperlink" Target="https://jigsaw.vitalsource.com/books/9781351721479/epub/OEBPS/xhtml/listoffigures.xhtml" TargetMode="External"/><Relationship Id="rId42" Type="http://schemas.openxmlformats.org/officeDocument/2006/relationships/hyperlink" Target="https://jigsaw.vitalsource.com/books/9781351721479/epub/OEBPS/xhtml/detailedtableofcontents.xhtml" TargetMode="External"/><Relationship Id="rId47" Type="http://schemas.openxmlformats.org/officeDocument/2006/relationships/fontTable" Target="fontTable.xml"/><Relationship Id="rId7" Type="http://schemas.openxmlformats.org/officeDocument/2006/relationships/hyperlink" Target="https://jigsaw.vitalsource.com/books/9781351721479/epub/OEBPS/xhtml/detailedtableofcontents.xhtml" TargetMode="External"/><Relationship Id="rId2" Type="http://schemas.openxmlformats.org/officeDocument/2006/relationships/styles" Target="styles.xml"/><Relationship Id="rId16" Type="http://schemas.openxmlformats.org/officeDocument/2006/relationships/hyperlink" Target="https://jigsaw.vitalsource.com/books/9781351721479/epub/OEBPS/xhtml/Ch23.xhtml" TargetMode="External"/><Relationship Id="rId29" Type="http://schemas.openxmlformats.org/officeDocument/2006/relationships/hyperlink" Target="https://jigsaw.vitalsource.com/books/9781351721479/epub/OEBPS/xhtml/detailedtableofcontents.xhtml" TargetMode="External"/><Relationship Id="rId1" Type="http://schemas.openxmlformats.org/officeDocument/2006/relationships/numbering" Target="numbering.xml"/><Relationship Id="rId6" Type="http://schemas.openxmlformats.org/officeDocument/2006/relationships/hyperlink" Target="https://jigsaw.vitalsource.com/books/9781351721479/epub/OEBPS/xhtml/detailedtableofcontents.xhtml" TargetMode="External"/><Relationship Id="rId11" Type="http://schemas.openxmlformats.org/officeDocument/2006/relationships/hyperlink" Target="https://jigsaw.vitalsource.com/books/9781351721479/epub/OEBPS/xhtml/Ch23.xhtml" TargetMode="External"/><Relationship Id="rId24" Type="http://schemas.openxmlformats.org/officeDocument/2006/relationships/hyperlink" Target="https://jigsaw.vitalsource.com/books/9781351721479/epub/OEBPS/xhtml/detailedtableofcontents.xhtml" TargetMode="External"/><Relationship Id="rId32" Type="http://schemas.openxmlformats.org/officeDocument/2006/relationships/hyperlink" Target="https://jigsaw.vitalsource.com/books/9781351721479/epub/OEBPS/xhtml/detailedtableofcontents.xhtml" TargetMode="External"/><Relationship Id="rId37" Type="http://schemas.openxmlformats.org/officeDocument/2006/relationships/hyperlink" Target="https://jigsaw.vitalsource.com/books/9781351721479/epub/OEBPS/xhtml/listoffigures.xhtml" TargetMode="External"/><Relationship Id="rId40" Type="http://schemas.openxmlformats.org/officeDocument/2006/relationships/hyperlink" Target="https://jigsaw.vitalsource.com/books/9781351721479/epub/OEBPS/xhtml/detailedtableofcontents.xhtml" TargetMode="External"/><Relationship Id="rId45" Type="http://schemas.openxmlformats.org/officeDocument/2006/relationships/hyperlink" Target="https://jigsaw.vitalsource.com/books/9781351721479/epub/OEBPS/xhtml/detailedtableofcontents.xhtml" TargetMode="External"/><Relationship Id="rId5" Type="http://schemas.openxmlformats.org/officeDocument/2006/relationships/hyperlink" Target="https://jigsaw.vitalsource.com/books/9781351721479/epub/OEBPS/xhtml/detailedtableofcontents.xhtml" TargetMode="External"/><Relationship Id="rId15" Type="http://schemas.openxmlformats.org/officeDocument/2006/relationships/hyperlink" Target="https://jigsaw.vitalsource.com/books/9781351721479/epub/OEBPS/xhtml/detailedtableofcontents.xhtml" TargetMode="External"/><Relationship Id="rId23" Type="http://schemas.openxmlformats.org/officeDocument/2006/relationships/hyperlink" Target="https://jigsaw.vitalsource.com/books/9781351721479/epub/OEBPS/xhtml/listoffigures.xhtml" TargetMode="External"/><Relationship Id="rId28" Type="http://schemas.openxmlformats.org/officeDocument/2006/relationships/hyperlink" Target="https://jigsaw.vitalsource.com/books/9781351721479/epub/OEBPS/xhtml/detailedtableofcontents.xhtml" TargetMode="External"/><Relationship Id="rId36" Type="http://schemas.openxmlformats.org/officeDocument/2006/relationships/hyperlink" Target="https://jigsaw.vitalsource.com/books/9781351721479/epub/OEBPS/xhtml/Ch24.xhtml" TargetMode="External"/><Relationship Id="rId10" Type="http://schemas.openxmlformats.org/officeDocument/2006/relationships/hyperlink" Target="https://jigsaw.vitalsource.com/books/9781351721479/epub/OEBPS/xhtml/detailedtableofcontents.xhtml" TargetMode="External"/><Relationship Id="rId19" Type="http://schemas.openxmlformats.org/officeDocument/2006/relationships/hyperlink" Target="https://jigsaw.vitalsource.com/books/9781351721479/epub/OEBPS/xhtml/listoffigures.xhtml" TargetMode="External"/><Relationship Id="rId31" Type="http://schemas.openxmlformats.org/officeDocument/2006/relationships/hyperlink" Target="https://jigsaw.vitalsource.com/books/9781351721479/epub/OEBPS/xhtml/detailedtableofcontents.xhtml" TargetMode="External"/><Relationship Id="rId44" Type="http://schemas.openxmlformats.org/officeDocument/2006/relationships/hyperlink" Target="https://jigsaw.vitalsource.com/books/9781351721479/epub/OEBPS/xhtml/detailedtableofcontents.xhtml" TargetMode="External"/><Relationship Id="rId4" Type="http://schemas.openxmlformats.org/officeDocument/2006/relationships/webSettings" Target="webSettings.xml"/><Relationship Id="rId9" Type="http://schemas.openxmlformats.org/officeDocument/2006/relationships/hyperlink" Target="https://jigsaw.vitalsource.com/books/9781351721479/epub/OEBPS/xhtml/Ch23.xhtml" TargetMode="External"/><Relationship Id="rId14" Type="http://schemas.openxmlformats.org/officeDocument/2006/relationships/hyperlink" Target="https://jigsaw.vitalsource.com/books/9781351721479/epub/OEBPS/xhtml/listoffigures.xhtml" TargetMode="External"/><Relationship Id="rId22" Type="http://schemas.openxmlformats.org/officeDocument/2006/relationships/hyperlink" Target="https://jigsaw.vitalsource.com/books/9781351721479/epub/OEBPS/xhtml/Ch23.xhtml" TargetMode="External"/><Relationship Id="rId27" Type="http://schemas.openxmlformats.org/officeDocument/2006/relationships/hyperlink" Target="https://jigsaw.vitalsource.com/books/9781351721479/epub/OEBPS/xhtml/detailedtableofcontents.xhtml" TargetMode="External"/><Relationship Id="rId30" Type="http://schemas.openxmlformats.org/officeDocument/2006/relationships/hyperlink" Target="https://jigsaw.vitalsource.com/books/9781351721479/epub/OEBPS/xhtml/detailedtableofcontents.xhtml" TargetMode="External"/><Relationship Id="rId35" Type="http://schemas.openxmlformats.org/officeDocument/2006/relationships/hyperlink" Target="https://jigsaw.vitalsource.com/books/9781351721479/epub/OEBPS/xhtml/Ch24.xhtml" TargetMode="External"/><Relationship Id="rId43" Type="http://schemas.openxmlformats.org/officeDocument/2006/relationships/hyperlink" Target="https://jigsaw.vitalsource.com/books/9781351721479/epub/OEBPS/xhtml/detailedtableofcontents.xhtml" TargetMode="External"/><Relationship Id="rId48" Type="http://schemas.openxmlformats.org/officeDocument/2006/relationships/theme" Target="theme/theme1.xml"/><Relationship Id="rId8" Type="http://schemas.openxmlformats.org/officeDocument/2006/relationships/hyperlink" Target="https://jigsaw.vitalsource.com/books/9781351721479/epub/OEBPS/xhtml/listoffigures.xhtml" TargetMode="External"/><Relationship Id="rId3" Type="http://schemas.openxmlformats.org/officeDocument/2006/relationships/settings" Target="settings.xml"/><Relationship Id="rId12" Type="http://schemas.openxmlformats.org/officeDocument/2006/relationships/hyperlink" Target="https://jigsaw.vitalsource.com/books/9781351721479/epub/OEBPS/xhtml/listoffigures.xhtml" TargetMode="External"/><Relationship Id="rId17" Type="http://schemas.openxmlformats.org/officeDocument/2006/relationships/hyperlink" Target="https://jigsaw.vitalsource.com/books/9781351721479/epub/OEBPS/xhtml/listoffigures.xhtml" TargetMode="External"/><Relationship Id="rId25" Type="http://schemas.openxmlformats.org/officeDocument/2006/relationships/hyperlink" Target="https://jigsaw.vitalsource.com/books/9781351721479/epub/OEBPS/xhtml/detailedtableofcontents.xhtml" TargetMode="External"/><Relationship Id="rId33" Type="http://schemas.openxmlformats.org/officeDocument/2006/relationships/hyperlink" Target="https://jigsaw.vitalsource.com/books/9781351721479/epub/OEBPS/xhtml/Ch24.xhtml" TargetMode="External"/><Relationship Id="rId38" Type="http://schemas.openxmlformats.org/officeDocument/2006/relationships/hyperlink" Target="https://jigsaw.vitalsource.com/books/9781351721479/epub/OEBPS/xhtml/Ch03.xhtml" TargetMode="External"/><Relationship Id="rId46" Type="http://schemas.openxmlformats.org/officeDocument/2006/relationships/hyperlink" Target="https://jigsaw.vitalsource.com/books/9781351721479/epub/OEBPS/xhtml/detailedtableofcontents.xhtml" TargetMode="External"/><Relationship Id="rId20" Type="http://schemas.openxmlformats.org/officeDocument/2006/relationships/hyperlink" Target="https://jigsaw.vitalsource.com/books/9781351721479/epub/OEBPS/xhtml/listoffigures.xhtml" TargetMode="External"/><Relationship Id="rId41" Type="http://schemas.openxmlformats.org/officeDocument/2006/relationships/hyperlink" Target="https://jigsaw.vitalsource.com/books/9781351721479/epub/OEBPS/xhtml/detailedtableofcontents.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17968</Words>
  <Characters>94155</Characters>
  <Application>Microsoft Office Word</Application>
  <DocSecurity>0</DocSecurity>
  <Lines>1326</Lines>
  <Paragraphs>210</Paragraphs>
  <ScaleCrop>false</ScaleCrop>
  <Company/>
  <LinksUpToDate>false</LinksUpToDate>
  <CharactersWithSpaces>111913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Alsharari, Omar Abdullah</dc:creator>
  <cp:keywords/>
  <dc:description/>
  <cp:lastModifiedBy>Alsharari, Omar Abdullah</cp:lastModifiedBy>
  <cp:revision>1</cp:revision>
  <dcterms:created xsi:type="dcterms:W3CDTF">2018-11-02T10:32:00Z</dcterms:created>
  <dcterms:modified xsi:type="dcterms:W3CDTF">2018-11-02T10:34:00Z</dcterms:modified>
</cp:coreProperties>
</file>